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2ED4E" w14:textId="4199AC78" w:rsidR="00A17395" w:rsidRPr="00A17395" w:rsidRDefault="00A17395" w:rsidP="00A17395">
      <w:pPr>
        <w:pStyle w:val="IASBDateSection"/>
      </w:pPr>
      <w:r w:rsidRPr="00A17395">
        <w:t xml:space="preserve">June </w:t>
      </w:r>
      <w:r w:rsidR="00906232" w:rsidRPr="00A17395">
        <w:t>20</w:t>
      </w:r>
      <w:r w:rsidR="00906232">
        <w:t>24</w:t>
      </w:r>
      <w:r w:rsidR="00864A4F">
        <w:t xml:space="preserve">                                                  Sparta District #140</w:t>
      </w:r>
      <w:r w:rsidRPr="00A17395">
        <w:tab/>
        <w:t>5:310</w:t>
      </w:r>
    </w:p>
    <w:p w14:paraId="72A6CC88" w14:textId="77777777" w:rsidR="00A17395" w:rsidRPr="00A17395" w:rsidRDefault="00A17395" w:rsidP="00A17395">
      <w:pPr>
        <w:pStyle w:val="IASBBodyText"/>
      </w:pPr>
    </w:p>
    <w:p w14:paraId="04017FB6" w14:textId="77777777" w:rsidR="00A17395" w:rsidRPr="00A17395" w:rsidRDefault="00A17395" w:rsidP="00906232">
      <w:pPr>
        <w:pStyle w:val="IASBHeading1"/>
      </w:pPr>
      <w:r w:rsidRPr="00A17395">
        <w:t>Educational Support Personnel</w:t>
      </w:r>
    </w:p>
    <w:p w14:paraId="488D17CC" w14:textId="1F0365B1" w:rsidR="00A17395" w:rsidRPr="00A17395" w:rsidRDefault="00A17395" w:rsidP="00906232">
      <w:pPr>
        <w:pStyle w:val="IASBHeading2"/>
      </w:pPr>
      <w:r w:rsidRPr="00A17395">
        <w:t>Compensatory Time-Off</w:t>
      </w:r>
      <w:r w:rsidRPr="00906232">
        <w:rPr>
          <w:rStyle w:val="IASBFootnoteReferenceNumberSpace"/>
        </w:rPr>
        <w:t xml:space="preserve"> </w:t>
      </w:r>
    </w:p>
    <w:p w14:paraId="67D6CD2A" w14:textId="77777777" w:rsidR="00A17395" w:rsidRPr="00A17395" w:rsidRDefault="00A17395" w:rsidP="00A17395">
      <w:pPr>
        <w:pStyle w:val="IASBBodyText"/>
      </w:pPr>
      <w:r w:rsidRPr="00A17395">
        <w:t xml:space="preserve">This policy governs the use of compensatory time-off by employees who: (1) are covered by the overtime provisions of the Fair Labor Standards Act, 29 U.S.C. §201 </w:t>
      </w:r>
      <w:r w:rsidRPr="00906232">
        <w:rPr>
          <w:rStyle w:val="IASBUnderline"/>
        </w:rPr>
        <w:t>et</w:t>
      </w:r>
      <w:r w:rsidRPr="00A17395">
        <w:t xml:space="preserve"> </w:t>
      </w:r>
      <w:r w:rsidRPr="00906232">
        <w:rPr>
          <w:rStyle w:val="IASBUnderline"/>
        </w:rPr>
        <w:t>seq</w:t>
      </w:r>
      <w:r w:rsidRPr="00A17395">
        <w:t>., and (2) are not represented by an exclusive bargaining representative.</w:t>
      </w:r>
    </w:p>
    <w:p w14:paraId="3689BF37" w14:textId="18637E7C" w:rsidR="00A17395" w:rsidRPr="00A17395" w:rsidRDefault="00A17395" w:rsidP="00A17395">
      <w:pPr>
        <w:pStyle w:val="IASBBodyText"/>
      </w:pPr>
      <w:r w:rsidRPr="00A17395">
        <w:t>Employees may be given 1-1/2 hours of compensatory time-off in lieu of cash payment for each hour of overtime worked. Other than as provided below, at no time may an employee’s accumulated compensatory time-off exceed 240 hours, which represents compensation for 160 hours of overtime.</w:t>
      </w:r>
      <w:r w:rsidR="00864A4F" w:rsidRPr="00A17395">
        <w:t xml:space="preserve"> </w:t>
      </w:r>
      <w:r w:rsidRPr="00A17395">
        <w:t xml:space="preserve">An employee whose work regularly includes public safety, emergency response, or seasonal activities may accumulate a maximum of 480 hours of compensatory time, which represents compensation for 320 hours of overtime. If an employee accrues the maximum number of compensatory time-off hours, the employee: (1) is paid for any additional overtime hours worked, at the rate of </w:t>
      </w:r>
      <w:proofErr w:type="gramStart"/>
      <w:r w:rsidRPr="00A17395">
        <w:t>one and one half</w:t>
      </w:r>
      <w:proofErr w:type="gramEnd"/>
      <w:r w:rsidRPr="00A17395">
        <w:t xml:space="preserve"> times the employee’s regular hourly rate of pay, and (2) does not accumulate compensatory time-off until the employee uses an equal amount of accrued time-off. </w:t>
      </w:r>
    </w:p>
    <w:p w14:paraId="5D797D97" w14:textId="12EB3E19" w:rsidR="00A17395" w:rsidRPr="00A17395" w:rsidRDefault="00A17395" w:rsidP="00A17395">
      <w:pPr>
        <w:pStyle w:val="IASBBodyText"/>
      </w:pPr>
      <w:r w:rsidRPr="00A17395">
        <w:t xml:space="preserve">An employee who has accrued compensatory time-off shall be permitted to use such time in at least half-day components provided such requests do not unduly disrupt the </w:t>
      </w:r>
      <w:proofErr w:type="gramStart"/>
      <w:r w:rsidRPr="00A17395">
        <w:t>District’s</w:t>
      </w:r>
      <w:proofErr w:type="gramEnd"/>
      <w:r w:rsidRPr="00A17395">
        <w:t xml:space="preserve"> operations. The employee’s supervisor must approve a request to use compensatory time-off.</w:t>
      </w:r>
    </w:p>
    <w:p w14:paraId="18D3F72E" w14:textId="77777777" w:rsidR="00A17395" w:rsidRPr="00A17395" w:rsidRDefault="00A17395" w:rsidP="00A17395">
      <w:pPr>
        <w:pStyle w:val="IASBBodyText"/>
      </w:pPr>
      <w:r w:rsidRPr="00A17395">
        <w:t>Upon termination of employment, an employee will be paid for unused compensatory time at the higher of:</w:t>
      </w:r>
    </w:p>
    <w:p w14:paraId="16BE53B7" w14:textId="7A713AB7" w:rsidR="00A17395" w:rsidRPr="00A17395" w:rsidRDefault="00A17395" w:rsidP="00532B2A">
      <w:pPr>
        <w:pStyle w:val="IASBListNumber"/>
      </w:pPr>
      <w:r w:rsidRPr="00A17395">
        <w:t>The average regular rate received by such employee during the last three years of employment; or</w:t>
      </w:r>
    </w:p>
    <w:p w14:paraId="1E9E4935" w14:textId="45DFAC13" w:rsidR="00A17395" w:rsidRPr="00A17395" w:rsidRDefault="00A17395" w:rsidP="00532B2A">
      <w:pPr>
        <w:pStyle w:val="IASBListNumber"/>
      </w:pPr>
      <w:r w:rsidRPr="00A17395">
        <w:t>The final regular rate received by such employee.</w:t>
      </w:r>
    </w:p>
    <w:p w14:paraId="396B32CC" w14:textId="77777777" w:rsidR="00A17395" w:rsidRPr="00A17395" w:rsidRDefault="00A17395" w:rsidP="00A17395">
      <w:pPr>
        <w:pStyle w:val="IASBBodyText"/>
      </w:pPr>
      <w:r w:rsidRPr="00A17395">
        <w:t>Compensatory time-off is time during which the employee is not working and is, therefore, not counted as “hours worked” for purposes of overtime compensation.</w:t>
      </w:r>
    </w:p>
    <w:p w14:paraId="60888CF5" w14:textId="6D055FD1" w:rsidR="00A17395" w:rsidRPr="00A17395" w:rsidRDefault="00A17395" w:rsidP="009164A5">
      <w:pPr>
        <w:pStyle w:val="IASBSUBHEADING"/>
      </w:pPr>
      <w:r w:rsidRPr="00A17395">
        <w:t>Implementation</w:t>
      </w:r>
    </w:p>
    <w:p w14:paraId="71946C77" w14:textId="77777777" w:rsidR="00A17395" w:rsidRPr="00A17395" w:rsidRDefault="00A17395" w:rsidP="00A17395">
      <w:pPr>
        <w:pStyle w:val="IASBBodyText"/>
      </w:pPr>
      <w:r w:rsidRPr="00A17395">
        <w:t>The Superintendent or designee shall implement this policy in accordance with the FLSA. In the event of a conflict between the policy and the FLSA, the latter shall control.</w:t>
      </w:r>
    </w:p>
    <w:p w14:paraId="66120CC9" w14:textId="39D65515" w:rsidR="00A17395" w:rsidRPr="00A17395" w:rsidRDefault="00A17395" w:rsidP="00906232">
      <w:pPr>
        <w:pStyle w:val="IASBLEGALREF"/>
      </w:pPr>
      <w:r w:rsidRPr="00A17395">
        <w:t>LEGAL REF.:</w:t>
      </w:r>
      <w:r w:rsidRPr="00A17395">
        <w:tab/>
        <w:t xml:space="preserve">29 U.S.C. §201 </w:t>
      </w:r>
      <w:r w:rsidRPr="009164A5">
        <w:rPr>
          <w:rStyle w:val="IASBUnderline"/>
        </w:rPr>
        <w:t>et</w:t>
      </w:r>
      <w:r w:rsidRPr="00A17395">
        <w:t xml:space="preserve"> </w:t>
      </w:r>
      <w:r w:rsidRPr="009164A5">
        <w:rPr>
          <w:rStyle w:val="IASBUnderline"/>
        </w:rPr>
        <w:t>seq</w:t>
      </w:r>
      <w:r w:rsidR="0006637C">
        <w:rPr>
          <w:rStyle w:val="IASBUnderline"/>
        </w:rPr>
        <w:t>.,</w:t>
      </w:r>
      <w:r w:rsidR="0006637C" w:rsidRPr="0006637C">
        <w:t xml:space="preserve"> </w:t>
      </w:r>
      <w:r w:rsidR="0006637C" w:rsidRPr="00A17395">
        <w:t>Fair Labor Standards Act</w:t>
      </w:r>
      <w:r w:rsidRPr="00A17395">
        <w:t>; 29 C.F.R. Part 553.</w:t>
      </w:r>
    </w:p>
    <w:p w14:paraId="685F7AF2" w14:textId="5D816916" w:rsidR="00DB27D3" w:rsidRDefault="00A17395" w:rsidP="00906232">
      <w:pPr>
        <w:pStyle w:val="IASBCROSSREF"/>
      </w:pPr>
      <w:r w:rsidRPr="00A17395">
        <w:t>CROSS REF.:</w:t>
      </w:r>
      <w:r w:rsidRPr="00A17395">
        <w:tab/>
        <w:t>5:35 (Compliance with the Fair Labor Standards Act), 5:185 (Family and Medical Leave), 5:270 (Employment At-Will, Compensation, and Assignment)</w:t>
      </w:r>
    </w:p>
    <w:p w14:paraId="409F49BC" w14:textId="77777777" w:rsidR="00864A4F" w:rsidRDefault="00864A4F" w:rsidP="00906232">
      <w:pPr>
        <w:pStyle w:val="IASBCROSSREF"/>
      </w:pPr>
    </w:p>
    <w:p w14:paraId="5940C763" w14:textId="77777777" w:rsidR="00864A4F" w:rsidRDefault="00864A4F" w:rsidP="00906232">
      <w:pPr>
        <w:pStyle w:val="IASBCROSSREF"/>
      </w:pPr>
    </w:p>
    <w:p w14:paraId="61908A44" w14:textId="77777777" w:rsidR="00864A4F" w:rsidRDefault="00864A4F" w:rsidP="00906232">
      <w:pPr>
        <w:pStyle w:val="IASBCROSSREF"/>
      </w:pPr>
    </w:p>
    <w:p w14:paraId="60892EE3" w14:textId="09C5CF46" w:rsidR="00864A4F" w:rsidRPr="008B6B88" w:rsidRDefault="00864A4F" w:rsidP="00906232">
      <w:pPr>
        <w:pStyle w:val="IASBCROSSREF"/>
      </w:pPr>
      <w:r>
        <w:t>Adopted October 10, 2024</w:t>
      </w:r>
    </w:p>
    <w:sectPr w:rsidR="00864A4F" w:rsidRPr="008B6B88" w:rsidSect="00A17395">
      <w:footerReference w:type="default" r:id="rId8"/>
      <w:footnotePr>
        <w:numRestart w:val="eachSect"/>
      </w:footnotePr>
      <w:endnotePr>
        <w:numFmt w:val="decimal"/>
      </w:endnotePr>
      <w:pgSz w:w="12240" w:h="15840" w:code="1"/>
      <w:pgMar w:top="1440" w:right="1080" w:bottom="1440" w:left="1440" w:header="1440" w:footer="720" w:gutter="720"/>
      <w:paperSrc w:first="15" w:other="15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BEEF3" w14:textId="77777777" w:rsidR="00367F43" w:rsidRDefault="00367F43" w:rsidP="000D528C"/>
  </w:endnote>
  <w:endnote w:type="continuationSeparator" w:id="0">
    <w:p w14:paraId="5E528125" w14:textId="77777777" w:rsidR="00367F43" w:rsidRDefault="00367F43">
      <w:r>
        <w:t xml:space="preserve"> </w:t>
      </w:r>
    </w:p>
  </w:endnote>
  <w:endnote w:type="continuationNotice" w:id="1">
    <w:p w14:paraId="676BC06A" w14:textId="77777777" w:rsidR="00367F43" w:rsidRDefault="00367F4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A32E5" w14:textId="77777777" w:rsidR="006A595C" w:rsidRDefault="006A595C" w:rsidP="0005662A">
    <w:pPr>
      <w:pStyle w:val="IASBFooter"/>
    </w:pPr>
  </w:p>
  <w:p w14:paraId="7EEF4B49" w14:textId="3277A37F" w:rsidR="006A595C" w:rsidRPr="006A595C" w:rsidRDefault="003037F2" w:rsidP="0005662A">
    <w:pPr>
      <w:pStyle w:val="IASBFooter"/>
    </w:pPr>
    <w:r>
      <w:t>5:310</w:t>
    </w:r>
    <w:r w:rsidR="006A595C" w:rsidRPr="006A595C">
      <w:tab/>
    </w:r>
    <w:r w:rsidR="006A595C">
      <w:tab/>
    </w:r>
    <w:r w:rsidR="006A595C" w:rsidRPr="006A595C">
      <w:t xml:space="preserve">Page </w:t>
    </w:r>
    <w:r w:rsidR="006A595C" w:rsidRPr="000D528C">
      <w:fldChar w:fldCharType="begin"/>
    </w:r>
    <w:r w:rsidR="006A595C">
      <w:instrText xml:space="preserve"> PAGE   \* MERGEFORMAT </w:instrText>
    </w:r>
    <w:r w:rsidR="006A595C" w:rsidRPr="000D528C">
      <w:fldChar w:fldCharType="separate"/>
    </w:r>
    <w:r w:rsidR="006A595C" w:rsidRPr="000D528C">
      <w:t>1</w:t>
    </w:r>
    <w:r w:rsidR="006A595C" w:rsidRPr="000D528C">
      <w:fldChar w:fldCharType="end"/>
    </w:r>
    <w:r w:rsidR="006A595C" w:rsidRPr="006A595C">
      <w:t xml:space="preserve"> of </w:t>
    </w:r>
    <w:fldSimple w:instr=" SECTIONPAGES  \* Arabic  \* MERGEFORMAT ">
      <w:r w:rsidR="00864A4F">
        <w:rPr>
          <w:noProof/>
        </w:rPr>
        <w:t>1</w:t>
      </w:r>
    </w:fldSimple>
  </w:p>
  <w:p w14:paraId="3D283664" w14:textId="3319EDA0" w:rsidR="006A595C" w:rsidRPr="006A595C" w:rsidRDefault="006A595C" w:rsidP="006A595C">
    <w:pPr>
      <w:pStyle w:val="IASBPRESSCopyright"/>
    </w:pPr>
    <w:r w:rsidRPr="006A595C">
      <w:t>©</w:t>
    </w:r>
    <w:r w:rsidR="003037F2" w:rsidRPr="006A595C">
      <w:t>20</w:t>
    </w:r>
    <w:r w:rsidR="003037F2">
      <w:t>24</w:t>
    </w:r>
    <w:r w:rsidR="003037F2" w:rsidRPr="006A595C">
      <w:t xml:space="preserve"> </w:t>
    </w:r>
    <w:r w:rsidRPr="00CE0A22">
      <w:rPr>
        <w:rStyle w:val="IASBPRESSCopyrightBold"/>
      </w:rPr>
      <w:t>P</w:t>
    </w:r>
    <w:r w:rsidRPr="006A595C">
      <w:t xml:space="preserve">olicy </w:t>
    </w:r>
    <w:r w:rsidRPr="00CE0A22">
      <w:rPr>
        <w:rStyle w:val="IASBPRESSCopyrightBold"/>
      </w:rPr>
      <w:t>R</w:t>
    </w:r>
    <w:r w:rsidRPr="006A595C">
      <w:t xml:space="preserve">eference </w:t>
    </w:r>
    <w:r w:rsidRPr="00CE0A22">
      <w:rPr>
        <w:rStyle w:val="IASBPRESSCopyrightBold"/>
      </w:rPr>
      <w:t>E</w:t>
    </w:r>
    <w:r w:rsidRPr="006A595C">
      <w:t xml:space="preserve">ducation </w:t>
    </w:r>
    <w:r w:rsidRPr="00CE0A22">
      <w:rPr>
        <w:rStyle w:val="IASBPRESSCopyrightBold"/>
      </w:rPr>
      <w:t>S</w:t>
    </w:r>
    <w:r w:rsidRPr="006A595C">
      <w:t xml:space="preserve">ubscription </w:t>
    </w:r>
    <w:r w:rsidRPr="00CE0A22">
      <w:rPr>
        <w:rStyle w:val="IASBPRESSCopyrightBold"/>
      </w:rPr>
      <w:t>S</w:t>
    </w:r>
    <w:r w:rsidRPr="006A595C">
      <w:t>ervice</w:t>
    </w:r>
  </w:p>
  <w:p w14:paraId="4ABB725E" w14:textId="77777777" w:rsidR="006A595C" w:rsidRPr="006A595C" w:rsidRDefault="006A595C" w:rsidP="006A595C">
    <w:pPr>
      <w:pStyle w:val="IASBPRESSCopyright"/>
    </w:pPr>
    <w:r w:rsidRPr="006A595C">
      <w:t>Illinois Association of School Boards. All Rights Reserved.</w:t>
    </w:r>
  </w:p>
  <w:p w14:paraId="141F6A66" w14:textId="77777777" w:rsidR="006A595C" w:rsidRPr="006A595C" w:rsidRDefault="006A595C" w:rsidP="006A595C">
    <w:pPr>
      <w:pStyle w:val="IASBPRESSCopyright"/>
    </w:pPr>
    <w:r w:rsidRPr="006A595C">
      <w:t>Please review this material with your school board attorney before use.</w:t>
    </w:r>
  </w:p>
  <w:p w14:paraId="14419443" w14:textId="77777777" w:rsidR="006A595C" w:rsidRDefault="006A595C" w:rsidP="0005662A">
    <w:pPr>
      <w:pStyle w:val="IASB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8CDD6" w14:textId="77777777" w:rsidR="00367F43" w:rsidRDefault="00367F43">
      <w:r>
        <w:separator/>
      </w:r>
    </w:p>
    <w:p w14:paraId="498D3154" w14:textId="77777777" w:rsidR="00367F43" w:rsidRDefault="00367F43" w:rsidP="003009A3">
      <w:pPr>
        <w:pStyle w:val="IASBFootnoteSeparator"/>
      </w:pPr>
      <w:r>
        <w:t>The footnotes are not intended to be part of the adopted policy; they should be removed before the policy is adopted.</w:t>
      </w:r>
    </w:p>
  </w:footnote>
  <w:footnote w:type="continuationSeparator" w:id="0">
    <w:p w14:paraId="492299A6" w14:textId="77777777" w:rsidR="00367F43" w:rsidRDefault="00367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D3B50"/>
    <w:multiLevelType w:val="hybridMultilevel"/>
    <w:tmpl w:val="9DC297F4"/>
    <w:lvl w:ilvl="0" w:tplc="0AF80A3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C46B2"/>
    <w:multiLevelType w:val="hybridMultilevel"/>
    <w:tmpl w:val="AB100030"/>
    <w:lvl w:ilvl="0" w:tplc="EFCAD17E">
      <w:start w:val="1"/>
      <w:numFmt w:val="decimal"/>
      <w:pStyle w:val="IASBFootnoteQuoteNumb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F3668FF"/>
    <w:multiLevelType w:val="hybridMultilevel"/>
    <w:tmpl w:val="8C484C08"/>
    <w:lvl w:ilvl="0" w:tplc="80689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9201C"/>
    <w:multiLevelType w:val="hybridMultilevel"/>
    <w:tmpl w:val="CB8091DA"/>
    <w:lvl w:ilvl="0" w:tplc="E93AFB2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24596"/>
    <w:multiLevelType w:val="hybridMultilevel"/>
    <w:tmpl w:val="B470DB50"/>
    <w:lvl w:ilvl="0" w:tplc="D944A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82A4F"/>
    <w:multiLevelType w:val="hybridMultilevel"/>
    <w:tmpl w:val="B9A09D1C"/>
    <w:lvl w:ilvl="0" w:tplc="4B2641EE">
      <w:start w:val="1"/>
      <w:numFmt w:val="decimal"/>
      <w:pStyle w:val="IASBFootnoteNumberedInden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934F8D"/>
    <w:multiLevelType w:val="hybridMultilevel"/>
    <w:tmpl w:val="30EC5756"/>
    <w:lvl w:ilvl="0" w:tplc="13E6AB16">
      <w:start w:val="1"/>
      <w:numFmt w:val="decimal"/>
      <w:pStyle w:val="IASBFoonoteTextListNumb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2913148">
    <w:abstractNumId w:val="3"/>
  </w:num>
  <w:num w:numId="2" w16cid:durableId="603536112">
    <w:abstractNumId w:val="0"/>
  </w:num>
  <w:num w:numId="3" w16cid:durableId="1548028871">
    <w:abstractNumId w:val="3"/>
    <w:lvlOverride w:ilvl="0">
      <w:startOverride w:val="1"/>
    </w:lvlOverride>
  </w:num>
  <w:num w:numId="4" w16cid:durableId="335570311">
    <w:abstractNumId w:val="3"/>
    <w:lvlOverride w:ilvl="0">
      <w:startOverride w:val="1"/>
    </w:lvlOverride>
  </w:num>
  <w:num w:numId="5" w16cid:durableId="848106017">
    <w:abstractNumId w:val="6"/>
  </w:num>
  <w:num w:numId="6" w16cid:durableId="1908105195">
    <w:abstractNumId w:val="3"/>
    <w:lvlOverride w:ilvl="0">
      <w:startOverride w:val="1"/>
    </w:lvlOverride>
  </w:num>
  <w:num w:numId="7" w16cid:durableId="718438256">
    <w:abstractNumId w:val="3"/>
    <w:lvlOverride w:ilvl="0">
      <w:startOverride w:val="1"/>
    </w:lvlOverride>
  </w:num>
  <w:num w:numId="8" w16cid:durableId="1108620692">
    <w:abstractNumId w:val="3"/>
    <w:lvlOverride w:ilvl="0">
      <w:startOverride w:val="1"/>
    </w:lvlOverride>
  </w:num>
  <w:num w:numId="9" w16cid:durableId="692996386">
    <w:abstractNumId w:val="3"/>
    <w:lvlOverride w:ilvl="0">
      <w:startOverride w:val="1"/>
    </w:lvlOverride>
  </w:num>
  <w:num w:numId="10" w16cid:durableId="370540650">
    <w:abstractNumId w:val="3"/>
    <w:lvlOverride w:ilvl="0">
      <w:startOverride w:val="1"/>
    </w:lvlOverride>
  </w:num>
  <w:num w:numId="11" w16cid:durableId="657734961">
    <w:abstractNumId w:val="3"/>
    <w:lvlOverride w:ilvl="0">
      <w:startOverride w:val="1"/>
    </w:lvlOverride>
  </w:num>
  <w:num w:numId="12" w16cid:durableId="1237741081">
    <w:abstractNumId w:val="3"/>
    <w:lvlOverride w:ilvl="0">
      <w:startOverride w:val="1"/>
    </w:lvlOverride>
  </w:num>
  <w:num w:numId="13" w16cid:durableId="204952081">
    <w:abstractNumId w:val="3"/>
    <w:lvlOverride w:ilvl="0">
      <w:startOverride w:val="1"/>
    </w:lvlOverride>
  </w:num>
  <w:num w:numId="14" w16cid:durableId="2056272824">
    <w:abstractNumId w:val="3"/>
    <w:lvlOverride w:ilvl="0">
      <w:startOverride w:val="1"/>
    </w:lvlOverride>
  </w:num>
  <w:num w:numId="15" w16cid:durableId="459886802">
    <w:abstractNumId w:val="3"/>
    <w:lvlOverride w:ilvl="0">
      <w:startOverride w:val="1"/>
    </w:lvlOverride>
  </w:num>
  <w:num w:numId="16" w16cid:durableId="906919029">
    <w:abstractNumId w:val="3"/>
    <w:lvlOverride w:ilvl="0">
      <w:startOverride w:val="1"/>
    </w:lvlOverride>
  </w:num>
  <w:num w:numId="17" w16cid:durableId="1380127089">
    <w:abstractNumId w:val="2"/>
  </w:num>
  <w:num w:numId="18" w16cid:durableId="1062673315">
    <w:abstractNumId w:val="4"/>
  </w:num>
  <w:num w:numId="19" w16cid:durableId="2048139663">
    <w:abstractNumId w:val="3"/>
    <w:lvlOverride w:ilvl="0">
      <w:startOverride w:val="1"/>
    </w:lvlOverride>
  </w:num>
  <w:num w:numId="20" w16cid:durableId="170067797">
    <w:abstractNumId w:val="3"/>
    <w:lvlOverride w:ilvl="0">
      <w:startOverride w:val="1"/>
    </w:lvlOverride>
  </w:num>
  <w:num w:numId="21" w16cid:durableId="1248005440">
    <w:abstractNumId w:val="3"/>
    <w:lvlOverride w:ilvl="0">
      <w:startOverride w:val="1"/>
    </w:lvlOverride>
  </w:num>
  <w:num w:numId="22" w16cid:durableId="849833933">
    <w:abstractNumId w:val="1"/>
  </w:num>
  <w:num w:numId="23" w16cid:durableId="1370761815">
    <w:abstractNumId w:val="5"/>
  </w:num>
  <w:num w:numId="24" w16cid:durableId="58484630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ln1+QsnjSUpFG3GlM/2qfmEVG4qfWkJ9D1GKgsdGhtMorzrpL3SySO8GoOBu2GoKOY70Gp7Ntj03XKkcfjDUMw==" w:salt="nPE7DilVs7GHganyffFQGA=="/>
  <w:defaultTabStop w:val="720"/>
  <w:hyphenationZone w:val="914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95"/>
    <w:rsid w:val="00003926"/>
    <w:rsid w:val="00021643"/>
    <w:rsid w:val="0002432D"/>
    <w:rsid w:val="00045C67"/>
    <w:rsid w:val="00053BCD"/>
    <w:rsid w:val="0005662A"/>
    <w:rsid w:val="0006637C"/>
    <w:rsid w:val="00066CDB"/>
    <w:rsid w:val="000B09D7"/>
    <w:rsid w:val="000D528C"/>
    <w:rsid w:val="00154C21"/>
    <w:rsid w:val="001616A0"/>
    <w:rsid w:val="0018203C"/>
    <w:rsid w:val="002155B3"/>
    <w:rsid w:val="002268ED"/>
    <w:rsid w:val="00267F2D"/>
    <w:rsid w:val="00276139"/>
    <w:rsid w:val="002838DF"/>
    <w:rsid w:val="00290B1B"/>
    <w:rsid w:val="002C61C1"/>
    <w:rsid w:val="002D4602"/>
    <w:rsid w:val="002E68DB"/>
    <w:rsid w:val="003009A3"/>
    <w:rsid w:val="003037F2"/>
    <w:rsid w:val="00367F43"/>
    <w:rsid w:val="00370C35"/>
    <w:rsid w:val="00394D32"/>
    <w:rsid w:val="003A3502"/>
    <w:rsid w:val="003E5601"/>
    <w:rsid w:val="00410E57"/>
    <w:rsid w:val="00422B0E"/>
    <w:rsid w:val="00440EB7"/>
    <w:rsid w:val="00441DF6"/>
    <w:rsid w:val="00473C92"/>
    <w:rsid w:val="00500DBC"/>
    <w:rsid w:val="00532B2A"/>
    <w:rsid w:val="005469E3"/>
    <w:rsid w:val="00572656"/>
    <w:rsid w:val="0058231A"/>
    <w:rsid w:val="005B16AC"/>
    <w:rsid w:val="005B4057"/>
    <w:rsid w:val="005E5A70"/>
    <w:rsid w:val="0062297B"/>
    <w:rsid w:val="00630F49"/>
    <w:rsid w:val="00632571"/>
    <w:rsid w:val="006A1100"/>
    <w:rsid w:val="006A2457"/>
    <w:rsid w:val="006A595C"/>
    <w:rsid w:val="006C09C9"/>
    <w:rsid w:val="006E2180"/>
    <w:rsid w:val="00714A65"/>
    <w:rsid w:val="007708A8"/>
    <w:rsid w:val="007822FD"/>
    <w:rsid w:val="007D682D"/>
    <w:rsid w:val="007E16CC"/>
    <w:rsid w:val="00813726"/>
    <w:rsid w:val="00864A4F"/>
    <w:rsid w:val="00891EFB"/>
    <w:rsid w:val="008B6B88"/>
    <w:rsid w:val="00906232"/>
    <w:rsid w:val="009164A5"/>
    <w:rsid w:val="00A17395"/>
    <w:rsid w:val="00A65DFC"/>
    <w:rsid w:val="00AB714D"/>
    <w:rsid w:val="00AD5AA8"/>
    <w:rsid w:val="00AF6A09"/>
    <w:rsid w:val="00B140FF"/>
    <w:rsid w:val="00B21C84"/>
    <w:rsid w:val="00B8515D"/>
    <w:rsid w:val="00BA2292"/>
    <w:rsid w:val="00C14E07"/>
    <w:rsid w:val="00C66B4F"/>
    <w:rsid w:val="00C749EC"/>
    <w:rsid w:val="00CB4E9D"/>
    <w:rsid w:val="00CE0A22"/>
    <w:rsid w:val="00CE5894"/>
    <w:rsid w:val="00D0112C"/>
    <w:rsid w:val="00D22152"/>
    <w:rsid w:val="00D71379"/>
    <w:rsid w:val="00D718A1"/>
    <w:rsid w:val="00D72091"/>
    <w:rsid w:val="00DA7970"/>
    <w:rsid w:val="00DB27D3"/>
    <w:rsid w:val="00DD4AA0"/>
    <w:rsid w:val="00DD5074"/>
    <w:rsid w:val="00DF1E64"/>
    <w:rsid w:val="00DF6ACD"/>
    <w:rsid w:val="00E37D80"/>
    <w:rsid w:val="00E40DF4"/>
    <w:rsid w:val="00F2650C"/>
    <w:rsid w:val="00F35429"/>
    <w:rsid w:val="00F36DCB"/>
    <w:rsid w:val="00F46EE1"/>
    <w:rsid w:val="00F62F32"/>
    <w:rsid w:val="00FB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94CBD"/>
  <w15:chartTrackingRefBased/>
  <w15:docId w15:val="{D80EFB52-292A-4599-BB0F-7F27B224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60" w:after="6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EFB"/>
    <w:pPr>
      <w:spacing w:before="0" w:after="0"/>
      <w:jc w:val="both"/>
    </w:pPr>
    <w:rPr>
      <w:kern w:val="28"/>
      <w:sz w:val="22"/>
    </w:rPr>
  </w:style>
  <w:style w:type="paragraph" w:styleId="Heading1">
    <w:name w:val="heading 1"/>
    <w:basedOn w:val="Normal"/>
    <w:next w:val="Normal"/>
    <w:qFormat/>
    <w:locked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qFormat/>
    <w:locked/>
    <w:pPr>
      <w:keepNext/>
      <w:spacing w:before="120" w:after="120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BodyText"/>
    <w:qFormat/>
    <w:locked/>
    <w:pPr>
      <w:keepNext/>
      <w:spacing w:before="120" w:after="120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locked/>
    <w:pPr>
      <w:keepNext/>
      <w:spacing w:before="24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locked/>
    <w:pPr>
      <w:spacing w:before="24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locked/>
    <w:pPr>
      <w:spacing w:before="24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locked/>
    <w:pPr>
      <w:spacing w:before="24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locked/>
    <w:pPr>
      <w:spacing w:before="24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locked/>
    <w:pPr>
      <w:spacing w:before="24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locked/>
    <w:rsid w:val="00DB27D3"/>
    <w:pPr>
      <w:keepLines/>
      <w:ind w:firstLine="360"/>
    </w:pPr>
    <w:rPr>
      <w:sz w:val="18"/>
    </w:rPr>
  </w:style>
  <w:style w:type="character" w:styleId="FootnoteReference">
    <w:name w:val="footnote reference"/>
    <w:basedOn w:val="DefaultParagraphFont"/>
    <w:uiPriority w:val="99"/>
    <w:locked/>
    <w:rsid w:val="003A3502"/>
    <w:rPr>
      <w:rFonts w:ascii="Times New Roman" w:hAnsi="Times New Roman"/>
      <w:b/>
      <w:position w:val="6"/>
      <w:sz w:val="18"/>
    </w:rPr>
  </w:style>
  <w:style w:type="paragraph" w:styleId="Index1">
    <w:name w:val="index 1"/>
    <w:basedOn w:val="Normal"/>
    <w:next w:val="Normal"/>
    <w:semiHidden/>
    <w:locked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locked/>
    <w:pPr>
      <w:tabs>
        <w:tab w:val="right" w:leader="dot" w:pos="9360"/>
      </w:tabs>
      <w:suppressAutoHyphens/>
      <w:ind w:left="1440" w:right="720" w:hanging="720"/>
    </w:pPr>
  </w:style>
  <w:style w:type="paragraph" w:styleId="ListNumber2">
    <w:name w:val="List Number 2"/>
    <w:basedOn w:val="Normal"/>
    <w:semiHidden/>
    <w:locked/>
    <w:pPr>
      <w:ind w:left="720" w:hanging="360"/>
    </w:pPr>
  </w:style>
  <w:style w:type="paragraph" w:styleId="List">
    <w:name w:val="List"/>
    <w:basedOn w:val="Normal"/>
    <w:semiHidden/>
    <w:locked/>
    <w:pPr>
      <w:ind w:left="360" w:hanging="360"/>
    </w:pPr>
  </w:style>
  <w:style w:type="paragraph" w:customStyle="1" w:styleId="IASBLEGALREF">
    <w:name w:val="IASB LEGAL REF"/>
    <w:basedOn w:val="Normal"/>
    <w:rsid w:val="007E16CC"/>
    <w:pPr>
      <w:keepNext/>
      <w:keepLines/>
      <w:tabs>
        <w:tab w:val="left" w:pos="1800"/>
      </w:tabs>
      <w:suppressAutoHyphens/>
      <w:spacing w:before="360"/>
      <w:ind w:left="2160" w:hanging="2160"/>
    </w:pPr>
    <w:rPr>
      <w:spacing w:val="-2"/>
    </w:rPr>
  </w:style>
  <w:style w:type="paragraph" w:styleId="List2">
    <w:name w:val="List 2"/>
    <w:basedOn w:val="Normal"/>
    <w:semiHidden/>
    <w:locked/>
    <w:pPr>
      <w:ind w:left="720" w:hanging="360"/>
    </w:pPr>
  </w:style>
  <w:style w:type="paragraph" w:customStyle="1" w:styleId="IASBLEGALREFINDENT">
    <w:name w:val="IASB LEGAL REF INDENT"/>
    <w:basedOn w:val="IASBLEGALREF"/>
    <w:pPr>
      <w:tabs>
        <w:tab w:val="clear" w:pos="1800"/>
      </w:tabs>
      <w:spacing w:before="0"/>
      <w:ind w:hanging="360"/>
    </w:pPr>
  </w:style>
  <w:style w:type="paragraph" w:customStyle="1" w:styleId="IASBCROSSREF">
    <w:name w:val="IASB CROSS REF"/>
    <w:basedOn w:val="Normal"/>
    <w:pPr>
      <w:keepNext/>
      <w:keepLines/>
      <w:tabs>
        <w:tab w:val="left" w:pos="1800"/>
      </w:tabs>
      <w:spacing w:before="240"/>
      <w:ind w:left="1800" w:hanging="1800"/>
    </w:pPr>
  </w:style>
  <w:style w:type="paragraph" w:styleId="ListBullet2">
    <w:name w:val="List Bullet 2"/>
    <w:basedOn w:val="Normal"/>
    <w:semiHidden/>
    <w:locked/>
    <w:pPr>
      <w:ind w:left="720" w:hanging="360"/>
    </w:pPr>
  </w:style>
  <w:style w:type="paragraph" w:styleId="ListBullet3">
    <w:name w:val="List Bullet 3"/>
    <w:basedOn w:val="Normal"/>
    <w:semiHidden/>
    <w:locked/>
    <w:pPr>
      <w:ind w:left="1080" w:hanging="360"/>
    </w:pPr>
  </w:style>
  <w:style w:type="paragraph" w:styleId="BodyText">
    <w:name w:val="Body Text"/>
    <w:basedOn w:val="Normal"/>
    <w:link w:val="BodyTextChar"/>
    <w:semiHidden/>
    <w:locked/>
  </w:style>
  <w:style w:type="paragraph" w:styleId="BodyTextIndent">
    <w:name w:val="Body Text Indent"/>
    <w:basedOn w:val="Normal"/>
    <w:link w:val="BodyTextIndentChar"/>
    <w:semiHidden/>
    <w:locked/>
    <w:pPr>
      <w:ind w:left="360"/>
    </w:pPr>
  </w:style>
  <w:style w:type="paragraph" w:styleId="ListNumber">
    <w:name w:val="List Number"/>
    <w:basedOn w:val="Normal"/>
    <w:semiHidden/>
    <w:rsid w:val="0058231A"/>
    <w:pPr>
      <w:numPr>
        <w:numId w:val="1"/>
      </w:numPr>
    </w:pPr>
  </w:style>
  <w:style w:type="paragraph" w:styleId="ListNumber3">
    <w:name w:val="List Number 3"/>
    <w:basedOn w:val="Normal"/>
    <w:semiHidden/>
    <w:locked/>
    <w:pPr>
      <w:ind w:left="1080" w:hanging="360"/>
    </w:pPr>
  </w:style>
  <w:style w:type="table" w:styleId="TableGrid">
    <w:name w:val="Table Grid"/>
    <w:basedOn w:val="TableNormal"/>
    <w:uiPriority w:val="39"/>
    <w:rsid w:val="0047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semiHidden/>
    <w:locked/>
    <w:pPr>
      <w:tabs>
        <w:tab w:val="center" w:pos="4320"/>
        <w:tab w:val="right" w:pos="8640"/>
      </w:tabs>
    </w:pPr>
  </w:style>
  <w:style w:type="paragraph" w:styleId="NormalIndent">
    <w:name w:val="Normal Indent"/>
    <w:basedOn w:val="Normal"/>
    <w:semiHidden/>
    <w:locked/>
    <w:pPr>
      <w:ind w:left="720"/>
    </w:pPr>
  </w:style>
  <w:style w:type="paragraph" w:styleId="List3">
    <w:name w:val="List 3"/>
    <w:basedOn w:val="Normal"/>
    <w:semiHidden/>
    <w:locked/>
    <w:pPr>
      <w:ind w:left="1080" w:hanging="360"/>
    </w:pPr>
  </w:style>
  <w:style w:type="paragraph" w:styleId="List4">
    <w:name w:val="List 4"/>
    <w:basedOn w:val="Normal"/>
    <w:semiHidden/>
    <w:locked/>
    <w:pPr>
      <w:ind w:left="1440" w:hanging="360"/>
    </w:pPr>
  </w:style>
  <w:style w:type="paragraph" w:styleId="ListBullet">
    <w:name w:val="List Bullet"/>
    <w:basedOn w:val="Normal"/>
    <w:semiHidden/>
    <w:locked/>
    <w:rsid w:val="00E37D80"/>
    <w:pPr>
      <w:numPr>
        <w:numId w:val="2"/>
      </w:numPr>
      <w:contextualSpacing/>
    </w:pPr>
  </w:style>
  <w:style w:type="paragraph" w:styleId="MessageHeader">
    <w:name w:val="Message Header"/>
    <w:basedOn w:val="Normal"/>
    <w:semiHidden/>
    <w:lock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ListBullet4">
    <w:name w:val="List Bullet 4"/>
    <w:basedOn w:val="Normal"/>
    <w:semiHidden/>
    <w:locked/>
    <w:pPr>
      <w:ind w:left="1440" w:hanging="360"/>
    </w:pPr>
  </w:style>
  <w:style w:type="paragraph" w:styleId="ListContinue2">
    <w:name w:val="List Continue 2"/>
    <w:basedOn w:val="Normal"/>
    <w:semiHidden/>
    <w:locked/>
    <w:pPr>
      <w:spacing w:after="120"/>
      <w:ind w:left="720"/>
    </w:pPr>
  </w:style>
  <w:style w:type="paragraph" w:styleId="Closing">
    <w:name w:val="Closing"/>
    <w:basedOn w:val="Normal"/>
    <w:semiHidden/>
    <w:locked/>
    <w:pPr>
      <w:ind w:left="4320"/>
    </w:pPr>
  </w:style>
  <w:style w:type="paragraph" w:styleId="Signature">
    <w:name w:val="Signature"/>
    <w:basedOn w:val="Normal"/>
    <w:semiHidden/>
    <w:locked/>
    <w:pPr>
      <w:ind w:left="4320"/>
    </w:pPr>
  </w:style>
  <w:style w:type="paragraph" w:customStyle="1" w:styleId="IASBIncorporatedSecondLine">
    <w:name w:val="IASB Incorporated Second Line"/>
    <w:basedOn w:val="IASBLEGALREF"/>
    <w:qFormat/>
    <w:rsid w:val="00441DF6"/>
    <w:pPr>
      <w:spacing w:before="0"/>
    </w:pPr>
  </w:style>
  <w:style w:type="paragraph" w:styleId="ListContinue">
    <w:name w:val="List Continue"/>
    <w:basedOn w:val="Normal"/>
    <w:semiHidden/>
    <w:locked/>
    <w:pPr>
      <w:spacing w:after="120"/>
      <w:ind w:left="360"/>
    </w:pPr>
  </w:style>
  <w:style w:type="paragraph" w:customStyle="1" w:styleId="IASBFootnoteTextIndent">
    <w:name w:val="IASB Footnote Text Indent"/>
    <w:basedOn w:val="IASBFootnoteText"/>
    <w:qFormat/>
    <w:rsid w:val="00630F49"/>
    <w:pPr>
      <w:ind w:firstLine="720"/>
    </w:pPr>
  </w:style>
  <w:style w:type="paragraph" w:styleId="Footer">
    <w:name w:val="footer"/>
    <w:basedOn w:val="Normal"/>
    <w:semiHidden/>
    <w:locked/>
    <w:rsid w:val="006A595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locked/>
  </w:style>
  <w:style w:type="paragraph" w:styleId="TOC1">
    <w:name w:val="toc 1"/>
    <w:basedOn w:val="Normal"/>
    <w:next w:val="Normal"/>
    <w:semiHidden/>
    <w:locked/>
    <w:pPr>
      <w:tabs>
        <w:tab w:val="right" w:leader="dot" w:pos="8640"/>
      </w:tabs>
    </w:pPr>
  </w:style>
  <w:style w:type="paragraph" w:customStyle="1" w:styleId="FootnoteBullet">
    <w:name w:val="Footnote Bullet"/>
    <w:basedOn w:val="FootnoteText"/>
    <w:locked/>
    <w:pPr>
      <w:ind w:left="994" w:hanging="274"/>
    </w:pPr>
  </w:style>
  <w:style w:type="paragraph" w:customStyle="1" w:styleId="IASBTableIndentLeft">
    <w:name w:val="IASB Table Indent Left"/>
    <w:basedOn w:val="IASBBodyText"/>
    <w:qFormat/>
    <w:rsid w:val="00714A65"/>
    <w:pPr>
      <w:ind w:left="360"/>
      <w:jc w:val="left"/>
    </w:pPr>
  </w:style>
  <w:style w:type="paragraph" w:styleId="TOC2">
    <w:name w:val="toc 2"/>
    <w:basedOn w:val="Normal"/>
    <w:next w:val="Normal"/>
    <w:semiHidden/>
    <w:locked/>
    <w:pPr>
      <w:tabs>
        <w:tab w:val="left" w:pos="900"/>
        <w:tab w:val="right" w:leader="dot" w:pos="8280"/>
      </w:tabs>
      <w:spacing w:before="120" w:after="120"/>
    </w:pPr>
    <w:rPr>
      <w:noProof/>
    </w:rPr>
  </w:style>
  <w:style w:type="paragraph" w:styleId="TOC3">
    <w:name w:val="toc 3"/>
    <w:basedOn w:val="Normal"/>
    <w:next w:val="Normal"/>
    <w:semiHidden/>
    <w:locked/>
    <w:pPr>
      <w:tabs>
        <w:tab w:val="left" w:pos="1620"/>
        <w:tab w:val="left" w:pos="8280"/>
      </w:tabs>
      <w:spacing w:before="120"/>
      <w:ind w:left="540"/>
    </w:pPr>
    <w:rPr>
      <w:noProof/>
    </w:rPr>
  </w:style>
  <w:style w:type="paragraph" w:styleId="TOC4">
    <w:name w:val="toc 4"/>
    <w:basedOn w:val="Normal"/>
    <w:next w:val="Normal"/>
    <w:semiHidden/>
    <w:locked/>
    <w:pPr>
      <w:tabs>
        <w:tab w:val="right" w:leader="dot" w:pos="8640"/>
      </w:tabs>
      <w:ind w:left="720"/>
    </w:pPr>
  </w:style>
  <w:style w:type="paragraph" w:styleId="TOC5">
    <w:name w:val="toc 5"/>
    <w:basedOn w:val="Normal"/>
    <w:next w:val="Normal"/>
    <w:semiHidden/>
    <w:locked/>
    <w:pPr>
      <w:tabs>
        <w:tab w:val="right" w:leader="dot" w:pos="8640"/>
      </w:tabs>
      <w:ind w:left="960"/>
    </w:pPr>
  </w:style>
  <w:style w:type="paragraph" w:styleId="TOC6">
    <w:name w:val="toc 6"/>
    <w:basedOn w:val="Normal"/>
    <w:next w:val="Normal"/>
    <w:semiHidden/>
    <w:locked/>
    <w:pPr>
      <w:tabs>
        <w:tab w:val="right" w:leader="dot" w:pos="8640"/>
      </w:tabs>
      <w:ind w:left="1200"/>
    </w:pPr>
  </w:style>
  <w:style w:type="paragraph" w:styleId="TOC7">
    <w:name w:val="toc 7"/>
    <w:basedOn w:val="Normal"/>
    <w:next w:val="Normal"/>
    <w:semiHidden/>
    <w:locked/>
    <w:pPr>
      <w:tabs>
        <w:tab w:val="right" w:leader="dot" w:pos="8640"/>
      </w:tabs>
      <w:ind w:left="1440"/>
    </w:pPr>
  </w:style>
  <w:style w:type="paragraph" w:styleId="TOC8">
    <w:name w:val="toc 8"/>
    <w:basedOn w:val="Normal"/>
    <w:next w:val="Normal"/>
    <w:semiHidden/>
    <w:locked/>
    <w:pPr>
      <w:tabs>
        <w:tab w:val="right" w:leader="dot" w:pos="8640"/>
      </w:tabs>
      <w:ind w:left="1680"/>
    </w:pPr>
  </w:style>
  <w:style w:type="paragraph" w:styleId="TOC9">
    <w:name w:val="toc 9"/>
    <w:basedOn w:val="Normal"/>
    <w:next w:val="Normal"/>
    <w:semiHidden/>
    <w:locked/>
    <w:pPr>
      <w:tabs>
        <w:tab w:val="right" w:leader="dot" w:pos="8640"/>
      </w:tabs>
      <w:ind w:left="1920"/>
    </w:pPr>
  </w:style>
  <w:style w:type="paragraph" w:customStyle="1" w:styleId="FootnoteNumberedIndent">
    <w:name w:val="Footnote Numbered Indent"/>
    <w:basedOn w:val="FootnoteText"/>
    <w:locked/>
    <w:pPr>
      <w:ind w:left="1080" w:hanging="360"/>
    </w:pPr>
  </w:style>
  <w:style w:type="paragraph" w:customStyle="1" w:styleId="IASBTableLeftJustified">
    <w:name w:val="IASB Table Left Justified"/>
    <w:basedOn w:val="IASBBodyText"/>
    <w:qFormat/>
    <w:rsid w:val="00714A65"/>
    <w:pPr>
      <w:jc w:val="left"/>
    </w:pPr>
  </w:style>
  <w:style w:type="paragraph" w:customStyle="1" w:styleId="Style1">
    <w:name w:val="Style1"/>
    <w:basedOn w:val="ListNumber"/>
    <w:locked/>
    <w:rsid w:val="00290B1B"/>
    <w:pPr>
      <w:ind w:left="360"/>
      <w:jc w:val="left"/>
    </w:pPr>
  </w:style>
  <w:style w:type="paragraph" w:customStyle="1" w:styleId="FootnoteQuote">
    <w:name w:val="Footnote Quote"/>
    <w:basedOn w:val="FootnoteText"/>
    <w:locked/>
    <w:pPr>
      <w:ind w:left="1080" w:right="1080" w:firstLine="0"/>
    </w:pPr>
  </w:style>
  <w:style w:type="paragraph" w:customStyle="1" w:styleId="FootnoteIndent">
    <w:name w:val="Footnote Indent"/>
    <w:basedOn w:val="FootnoteText"/>
    <w:locked/>
    <w:pPr>
      <w:ind w:left="720" w:right="720"/>
    </w:pPr>
  </w:style>
  <w:style w:type="paragraph" w:customStyle="1" w:styleId="IASBTableIndentJustified">
    <w:name w:val="IASB Table Indent Justified"/>
    <w:basedOn w:val="IASBBodyText"/>
    <w:qFormat/>
    <w:rsid w:val="00DD4AA0"/>
    <w:pPr>
      <w:ind w:left="360"/>
    </w:pPr>
  </w:style>
  <w:style w:type="paragraph" w:customStyle="1" w:styleId="IASBSUBHEADING">
    <w:name w:val="IASB SUBHEADING"/>
    <w:basedOn w:val="Normal"/>
    <w:next w:val="BodyText"/>
    <w:pPr>
      <w:keepNext/>
      <w:spacing w:before="120"/>
    </w:pPr>
    <w:rPr>
      <w:u w:val="single"/>
    </w:rPr>
  </w:style>
  <w:style w:type="paragraph" w:styleId="List5">
    <w:name w:val="List 5"/>
    <w:basedOn w:val="Normal"/>
    <w:semiHidden/>
    <w:locked/>
    <w:pPr>
      <w:ind w:left="1800" w:hanging="360"/>
    </w:pPr>
  </w:style>
  <w:style w:type="paragraph" w:styleId="ListBullet5">
    <w:name w:val="List Bullet 5"/>
    <w:basedOn w:val="Normal"/>
    <w:semiHidden/>
    <w:locked/>
    <w:pPr>
      <w:ind w:left="1800" w:hanging="360"/>
    </w:pPr>
  </w:style>
  <w:style w:type="paragraph" w:styleId="ListContinue3">
    <w:name w:val="List Continue 3"/>
    <w:basedOn w:val="Normal"/>
    <w:semiHidden/>
    <w:locked/>
    <w:pPr>
      <w:spacing w:after="120"/>
      <w:ind w:left="1080"/>
    </w:pPr>
  </w:style>
  <w:style w:type="paragraph" w:styleId="ListContinue4">
    <w:name w:val="List Continue 4"/>
    <w:basedOn w:val="Normal"/>
    <w:semiHidden/>
    <w:locked/>
    <w:pPr>
      <w:spacing w:after="120"/>
      <w:ind w:left="1440"/>
    </w:pPr>
  </w:style>
  <w:style w:type="paragraph" w:styleId="ListContinue5">
    <w:name w:val="List Continue 5"/>
    <w:basedOn w:val="Normal"/>
    <w:semiHidden/>
    <w:locked/>
    <w:pPr>
      <w:spacing w:after="120"/>
      <w:ind w:left="1800"/>
    </w:pPr>
  </w:style>
  <w:style w:type="paragraph" w:styleId="ListNumber4">
    <w:name w:val="List Number 4"/>
    <w:basedOn w:val="Normal"/>
    <w:semiHidden/>
    <w:locked/>
    <w:pPr>
      <w:ind w:left="1440" w:hanging="360"/>
    </w:pPr>
  </w:style>
  <w:style w:type="paragraph" w:styleId="ListNumber5">
    <w:name w:val="List Number 5"/>
    <w:basedOn w:val="Normal"/>
    <w:semiHidden/>
    <w:locked/>
    <w:pPr>
      <w:ind w:left="1800" w:hanging="360"/>
    </w:pPr>
  </w:style>
  <w:style w:type="paragraph" w:customStyle="1" w:styleId="IASBDateSection">
    <w:name w:val="IASB Date/Section"/>
    <w:basedOn w:val="Normal"/>
    <w:qFormat/>
    <w:rsid w:val="007708A8"/>
    <w:pPr>
      <w:pBdr>
        <w:bottom w:val="single" w:sz="4" w:space="1" w:color="auto"/>
      </w:pBdr>
      <w:tabs>
        <w:tab w:val="right" w:pos="9000"/>
      </w:tabs>
    </w:pPr>
    <w:rPr>
      <w:rFonts w:eastAsiaTheme="minorHAnsi"/>
      <w:kern w:val="0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7708A8"/>
    <w:rPr>
      <w:kern w:val="28"/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7708A8"/>
    <w:rPr>
      <w:kern w:val="28"/>
      <w:sz w:val="22"/>
    </w:rPr>
  </w:style>
  <w:style w:type="character" w:customStyle="1" w:styleId="IASBBoldItalic">
    <w:name w:val="IASB Bold Italic"/>
    <w:basedOn w:val="DefaultParagraphFont"/>
    <w:uiPriority w:val="1"/>
    <w:qFormat/>
    <w:rsid w:val="00CE0A22"/>
    <w:rPr>
      <w:b/>
      <w:i/>
    </w:rPr>
  </w:style>
  <w:style w:type="character" w:customStyle="1" w:styleId="IASBBoldItalicUnderline">
    <w:name w:val="IASB Bold Italic Underline"/>
    <w:basedOn w:val="IASBBoldItalic"/>
    <w:uiPriority w:val="1"/>
    <w:qFormat/>
    <w:rsid w:val="00CE0A22"/>
    <w:rPr>
      <w:b/>
      <w:i/>
      <w:u w:val="single"/>
    </w:rPr>
  </w:style>
  <w:style w:type="character" w:customStyle="1" w:styleId="IASBItalic">
    <w:name w:val="IASB Italic"/>
    <w:basedOn w:val="DefaultParagraphFont"/>
    <w:uiPriority w:val="1"/>
    <w:qFormat/>
    <w:rsid w:val="00A65DFC"/>
    <w:rPr>
      <w:i/>
    </w:rPr>
  </w:style>
  <w:style w:type="paragraph" w:customStyle="1" w:styleId="IASBPRESSCopyright">
    <w:name w:val="IASB PRESS Copyright"/>
    <w:basedOn w:val="Footer"/>
    <w:qFormat/>
    <w:rsid w:val="006A595C"/>
    <w:pPr>
      <w:jc w:val="center"/>
    </w:pPr>
    <w:rPr>
      <w:sz w:val="16"/>
      <w:szCs w:val="14"/>
    </w:rPr>
  </w:style>
  <w:style w:type="character" w:customStyle="1" w:styleId="IASBBoldStrikethrough">
    <w:name w:val="IASB Bold Strikethrough"/>
    <w:basedOn w:val="DefaultParagraphFont"/>
    <w:uiPriority w:val="1"/>
    <w:qFormat/>
    <w:rsid w:val="00CE0A22"/>
    <w:rPr>
      <w:b/>
      <w:i w:val="0"/>
      <w:strike/>
      <w:dstrike w:val="0"/>
      <w:u w:val="none"/>
    </w:rPr>
  </w:style>
  <w:style w:type="character" w:customStyle="1" w:styleId="IASBItalicStrikethrough">
    <w:name w:val="IASB Italic Strikethrough"/>
    <w:basedOn w:val="DefaultParagraphFont"/>
    <w:uiPriority w:val="1"/>
    <w:qFormat/>
    <w:rsid w:val="00CE0A22"/>
    <w:rPr>
      <w:b w:val="0"/>
      <w:i/>
      <w:strike/>
      <w:dstrike w:val="0"/>
    </w:rPr>
  </w:style>
  <w:style w:type="character" w:customStyle="1" w:styleId="IASBUnderline">
    <w:name w:val="IASB Underline"/>
    <w:basedOn w:val="DefaultParagraphFont"/>
    <w:uiPriority w:val="1"/>
    <w:qFormat/>
    <w:rsid w:val="00A65DFC"/>
    <w:rPr>
      <w:u w:val="single"/>
    </w:rPr>
  </w:style>
  <w:style w:type="character" w:customStyle="1" w:styleId="IASBBold">
    <w:name w:val="IASB Bold"/>
    <w:basedOn w:val="DefaultParagraphFont"/>
    <w:uiPriority w:val="1"/>
    <w:qFormat/>
    <w:rsid w:val="00A65DFC"/>
    <w:rPr>
      <w:b/>
    </w:rPr>
  </w:style>
  <w:style w:type="character" w:customStyle="1" w:styleId="IASBStrikethrough">
    <w:name w:val="IASB Strikethrough"/>
    <w:basedOn w:val="DefaultParagraphFont"/>
    <w:uiPriority w:val="1"/>
    <w:qFormat/>
    <w:rsid w:val="00CE0A22"/>
    <w:rPr>
      <w:strike/>
      <w:dstrike w:val="0"/>
    </w:rPr>
  </w:style>
  <w:style w:type="character" w:customStyle="1" w:styleId="IASBPRESSCopyrightBold">
    <w:name w:val="IASB PRESS Copyright Bold"/>
    <w:basedOn w:val="DefaultParagraphFont"/>
    <w:uiPriority w:val="1"/>
    <w:qFormat/>
    <w:rsid w:val="00CE0A22"/>
    <w:rPr>
      <w:b/>
    </w:rPr>
  </w:style>
  <w:style w:type="paragraph" w:customStyle="1" w:styleId="IASBFootnoteQuote">
    <w:name w:val="IASB Footnote Quote"/>
    <w:qFormat/>
    <w:rsid w:val="00A65DFC"/>
    <w:pPr>
      <w:ind w:left="1080" w:right="1080"/>
      <w:jc w:val="both"/>
    </w:pPr>
    <w:rPr>
      <w:kern w:val="28"/>
      <w:sz w:val="18"/>
    </w:rPr>
  </w:style>
  <w:style w:type="character" w:styleId="Hyperlink">
    <w:name w:val="Hyperlink"/>
    <w:basedOn w:val="DefaultParagraphFont"/>
    <w:uiPriority w:val="99"/>
    <w:unhideWhenUsed/>
    <w:rsid w:val="006C0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6C09C9"/>
    <w:rPr>
      <w:color w:val="605E5C"/>
      <w:shd w:val="clear" w:color="auto" w:fill="E1DFDD"/>
    </w:rPr>
  </w:style>
  <w:style w:type="paragraph" w:customStyle="1" w:styleId="IASBFoonoteTextListNumber">
    <w:name w:val="IASB Foonote Text List Number"/>
    <w:basedOn w:val="FootnoteText"/>
    <w:qFormat/>
    <w:rsid w:val="006C09C9"/>
    <w:pPr>
      <w:numPr>
        <w:numId w:val="5"/>
      </w:num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DB27D3"/>
    <w:rPr>
      <w:kern w:val="28"/>
      <w:sz w:val="18"/>
    </w:rPr>
  </w:style>
  <w:style w:type="character" w:customStyle="1" w:styleId="IASBFootnoteReferenceNumber">
    <w:name w:val="IASB Footnote Reference Number"/>
    <w:basedOn w:val="FootnoteReference"/>
    <w:uiPriority w:val="1"/>
    <w:qFormat/>
    <w:rsid w:val="00D72091"/>
    <w:rPr>
      <w:rFonts w:ascii="Times New Roman" w:hAnsi="Times New Roman"/>
      <w:b/>
      <w:bCs/>
      <w:position w:val="6"/>
      <w:sz w:val="18"/>
      <w:u w:val="none"/>
      <w:vertAlign w:val="baseline"/>
    </w:rPr>
  </w:style>
  <w:style w:type="character" w:customStyle="1" w:styleId="IASBFootnoteReferenceNumberSpace">
    <w:name w:val="IASB Footnote Reference Number Space"/>
    <w:basedOn w:val="DefaultParagraphFont"/>
    <w:uiPriority w:val="1"/>
    <w:qFormat/>
    <w:rsid w:val="00D72091"/>
    <w:rPr>
      <w:b w:val="0"/>
      <w:bCs/>
      <w:u w:val="none"/>
    </w:rPr>
  </w:style>
  <w:style w:type="character" w:customStyle="1" w:styleId="IASBFootnoteReferenceNumberHeading2">
    <w:name w:val="IASB Footnote Reference Number Heading 2"/>
    <w:basedOn w:val="IASBFootnoteReferenceNumber"/>
    <w:uiPriority w:val="1"/>
    <w:qFormat/>
    <w:rsid w:val="00066CDB"/>
    <w:rPr>
      <w:rFonts w:ascii="Times New Roman" w:hAnsi="Times New Roman"/>
      <w:b w:val="0"/>
      <w:bCs/>
      <w:position w:val="6"/>
      <w:sz w:val="18"/>
      <w:u w:val="none"/>
      <w:vertAlign w:val="baseline"/>
    </w:rPr>
  </w:style>
  <w:style w:type="paragraph" w:customStyle="1" w:styleId="IASBBodyText">
    <w:name w:val="IASB Body Text"/>
    <w:basedOn w:val="BodyText"/>
    <w:qFormat/>
    <w:rsid w:val="00DB27D3"/>
    <w:pPr>
      <w:spacing w:before="60" w:after="60"/>
    </w:pPr>
  </w:style>
  <w:style w:type="paragraph" w:customStyle="1" w:styleId="IASBHeading1">
    <w:name w:val="IASB Heading 1"/>
    <w:basedOn w:val="Heading1"/>
    <w:qFormat/>
    <w:rsid w:val="007E16CC"/>
  </w:style>
  <w:style w:type="paragraph" w:customStyle="1" w:styleId="IASBHeading2">
    <w:name w:val="IASB Heading 2"/>
    <w:basedOn w:val="Heading2"/>
    <w:qFormat/>
    <w:rsid w:val="007E16CC"/>
  </w:style>
  <w:style w:type="character" w:customStyle="1" w:styleId="IASBFootnoteReference">
    <w:name w:val="IASB Footnote Reference"/>
    <w:basedOn w:val="FootnoteReference"/>
    <w:uiPriority w:val="1"/>
    <w:qFormat/>
    <w:rsid w:val="00D71379"/>
    <w:rPr>
      <w:rFonts w:ascii="Times New Roman" w:hAnsi="Times New Roman"/>
      <w:b/>
      <w:position w:val="6"/>
      <w:sz w:val="18"/>
    </w:rPr>
  </w:style>
  <w:style w:type="paragraph" w:customStyle="1" w:styleId="IASBFootnoteText">
    <w:name w:val="IASB Footnote Text"/>
    <w:basedOn w:val="FootnoteText"/>
    <w:qFormat/>
    <w:rsid w:val="00D71379"/>
  </w:style>
  <w:style w:type="paragraph" w:customStyle="1" w:styleId="IASBListNumber">
    <w:name w:val="IASB List Number"/>
    <w:basedOn w:val="ListNumber"/>
    <w:qFormat/>
    <w:rsid w:val="0058231A"/>
  </w:style>
  <w:style w:type="paragraph" w:customStyle="1" w:styleId="IASBListBullet">
    <w:name w:val="IASB List Bullet"/>
    <w:basedOn w:val="ListBullet"/>
    <w:qFormat/>
    <w:rsid w:val="00473C92"/>
  </w:style>
  <w:style w:type="paragraph" w:customStyle="1" w:styleId="IASBFooter">
    <w:name w:val="IASB Footer"/>
    <w:basedOn w:val="Footer"/>
    <w:qFormat/>
    <w:rsid w:val="0005662A"/>
  </w:style>
  <w:style w:type="character" w:customStyle="1" w:styleId="IASBItalicUnderline">
    <w:name w:val="IASB Italic Underline"/>
    <w:basedOn w:val="DefaultParagraphFont"/>
    <w:uiPriority w:val="1"/>
    <w:qFormat/>
    <w:rsid w:val="00C749EC"/>
    <w:rPr>
      <w:i/>
      <w:u w:val="single"/>
    </w:rPr>
  </w:style>
  <w:style w:type="paragraph" w:customStyle="1" w:styleId="IASBFootnoteQuoteNumber">
    <w:name w:val="IASB Footnote Quote Number"/>
    <w:basedOn w:val="IASBFootnoteQuote"/>
    <w:qFormat/>
    <w:rsid w:val="00C749EC"/>
    <w:pPr>
      <w:keepLines/>
      <w:numPr>
        <w:numId w:val="22"/>
      </w:numPr>
      <w:overflowPunct w:val="0"/>
      <w:autoSpaceDE w:val="0"/>
      <w:autoSpaceDN w:val="0"/>
      <w:adjustRightInd w:val="0"/>
      <w:ind w:left="1440"/>
      <w:textAlignment w:val="baseline"/>
    </w:pPr>
  </w:style>
  <w:style w:type="paragraph" w:customStyle="1" w:styleId="IASBFootnoteNumberedIndent">
    <w:name w:val="IASB Footnote Numbered Indent"/>
    <w:basedOn w:val="IASBFootnoteText"/>
    <w:qFormat/>
    <w:rsid w:val="00C749EC"/>
    <w:pPr>
      <w:numPr>
        <w:numId w:val="23"/>
      </w:numPr>
    </w:pPr>
  </w:style>
  <w:style w:type="paragraph" w:customStyle="1" w:styleId="IASBFootnoteSeparator">
    <w:name w:val="IASB Footnote Separator"/>
    <w:qFormat/>
    <w:rsid w:val="001616A0"/>
    <w:rPr>
      <w:color w:val="FF0000"/>
      <w:kern w:val="28"/>
      <w:sz w:val="18"/>
      <w:szCs w:val="18"/>
    </w:rPr>
  </w:style>
  <w:style w:type="paragraph" w:customStyle="1" w:styleId="IASBTOC1">
    <w:name w:val="IASB TOC 1"/>
    <w:basedOn w:val="Normal"/>
    <w:next w:val="Normal"/>
    <w:rsid w:val="000D528C"/>
    <w:pPr>
      <w:spacing w:before="120" w:after="120"/>
      <w:ind w:left="1440" w:hanging="1080"/>
    </w:pPr>
    <w:rPr>
      <w:noProof/>
    </w:rPr>
  </w:style>
  <w:style w:type="paragraph" w:customStyle="1" w:styleId="IASBTOC2">
    <w:name w:val="IASB TOC 2"/>
    <w:basedOn w:val="IASBTOC1"/>
    <w:next w:val="Normal"/>
    <w:rsid w:val="000D528C"/>
    <w:pPr>
      <w:ind w:left="2160"/>
    </w:pPr>
  </w:style>
  <w:style w:type="paragraph" w:customStyle="1" w:styleId="IASBTOC4">
    <w:name w:val="IASB TOC 4"/>
    <w:basedOn w:val="IASBTOC2"/>
    <w:rsid w:val="000D528C"/>
    <w:pPr>
      <w:ind w:left="2880" w:hanging="1800"/>
    </w:pPr>
  </w:style>
  <w:style w:type="paragraph" w:customStyle="1" w:styleId="IASBTOC3">
    <w:name w:val="IASB TOC 3"/>
    <w:basedOn w:val="IASBTOC2"/>
    <w:rsid w:val="000D528C"/>
    <w:pPr>
      <w:ind w:left="2520" w:hanging="1440"/>
    </w:pPr>
  </w:style>
  <w:style w:type="paragraph" w:styleId="TOCHeading">
    <w:name w:val="TOC Heading"/>
    <w:basedOn w:val="Normal"/>
    <w:next w:val="Normal"/>
    <w:qFormat/>
    <w:locked/>
    <w:rsid w:val="00AD5AA8"/>
    <w:pPr>
      <w:jc w:val="center"/>
    </w:pPr>
    <w:rPr>
      <w:rFonts w:ascii="Arial" w:hAnsi="Arial"/>
      <w:b/>
      <w:smallCaps/>
    </w:rPr>
  </w:style>
  <w:style w:type="paragraph" w:customStyle="1" w:styleId="IASBTOCHeading2">
    <w:name w:val="IASB TOC Heading 2"/>
    <w:basedOn w:val="TOCHeading"/>
    <w:rsid w:val="00AD5AA8"/>
    <w:pPr>
      <w:spacing w:after="360"/>
    </w:pPr>
  </w:style>
  <w:style w:type="paragraph" w:customStyle="1" w:styleId="IASBTOCHeading">
    <w:name w:val="IASB TOC Heading"/>
    <w:basedOn w:val="TOCHeading"/>
    <w:qFormat/>
    <w:rsid w:val="00AD5AA8"/>
  </w:style>
  <w:style w:type="paragraph" w:customStyle="1" w:styleId="IASBHangingIndent">
    <w:name w:val="IASB Hanging Indent"/>
    <w:basedOn w:val="IASBBodyText"/>
    <w:qFormat/>
    <w:rsid w:val="00473C92"/>
    <w:pPr>
      <w:ind w:left="360" w:hanging="360"/>
      <w:jc w:val="left"/>
    </w:pPr>
  </w:style>
  <w:style w:type="paragraph" w:customStyle="1" w:styleId="IASBBodyTextLeft">
    <w:name w:val="IASB Body Text Left"/>
    <w:basedOn w:val="IASBBodyText"/>
    <w:qFormat/>
    <w:rsid w:val="00DB27D3"/>
    <w:pPr>
      <w:jc w:val="left"/>
    </w:pPr>
  </w:style>
  <w:style w:type="paragraph" w:styleId="CommentText">
    <w:name w:val="annotation text"/>
    <w:basedOn w:val="Normal"/>
    <w:link w:val="CommentTextChar"/>
    <w:uiPriority w:val="99"/>
    <w:unhideWhenUsed/>
    <w:locked/>
    <w:rsid w:val="00F62F32"/>
    <w:pPr>
      <w:overflowPunct w:val="0"/>
      <w:autoSpaceDE w:val="0"/>
      <w:autoSpaceDN w:val="0"/>
      <w:adjustRightInd w:val="0"/>
      <w:jc w:val="left"/>
      <w:textAlignment w:val="baseline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F32"/>
    <w:rPr>
      <w:kern w:val="28"/>
    </w:rPr>
  </w:style>
  <w:style w:type="paragraph" w:customStyle="1" w:styleId="IASBCheckboxBodyText">
    <w:name w:val="IASB Checkbox Body Text"/>
    <w:basedOn w:val="IASBBodyText"/>
    <w:qFormat/>
    <w:rsid w:val="00F62F32"/>
    <w:pPr>
      <w:overflowPunct w:val="0"/>
      <w:autoSpaceDE w:val="0"/>
      <w:autoSpaceDN w:val="0"/>
      <w:adjustRightInd w:val="0"/>
      <w:ind w:left="720" w:hanging="720"/>
      <w:textAlignment w:val="baseline"/>
    </w:pPr>
  </w:style>
  <w:style w:type="paragraph" w:customStyle="1" w:styleId="IASBCheckboxListNumber">
    <w:name w:val="IASB Checkbox List Number"/>
    <w:basedOn w:val="ListNumber"/>
    <w:qFormat/>
    <w:rsid w:val="00F62F32"/>
    <w:pPr>
      <w:overflowPunct w:val="0"/>
      <w:autoSpaceDE w:val="0"/>
      <w:autoSpaceDN w:val="0"/>
      <w:adjustRightInd w:val="0"/>
      <w:ind w:left="1080"/>
      <w:textAlignment w:val="baseline"/>
    </w:pPr>
  </w:style>
  <w:style w:type="paragraph" w:customStyle="1" w:styleId="IASBListNumberNoIndent">
    <w:name w:val="IASB List Number No Indent"/>
    <w:basedOn w:val="IASBListNumber"/>
    <w:qFormat/>
    <w:rsid w:val="008B6B88"/>
    <w:pPr>
      <w:ind w:left="360"/>
    </w:pPr>
  </w:style>
  <w:style w:type="paragraph" w:styleId="Revision">
    <w:name w:val="Revision"/>
    <w:hidden/>
    <w:uiPriority w:val="99"/>
    <w:semiHidden/>
    <w:rsid w:val="00906232"/>
    <w:pPr>
      <w:spacing w:before="0" w:after="0"/>
    </w:pPr>
    <w:rPr>
      <w:kern w:val="2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RESS\2024%20PRESS\115%20June%202024\Working%20Section%20Folders\Section%205\IASB%20Template%202023.01.26%20--%20LOCKED%20-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B3C47-DBC9-44D5-9A16-43CD0BFEC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P:\PRESS\2024 PRESS\115 June 2024\Working Section Folders\Section 5\IASB Template 2023.01.26 -- LOCKED - FINAL.dotx</Template>
  <TotalTime>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Strategic Tech Resources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Ifkovits</dc:creator>
  <cp:keywords/>
  <dc:description/>
  <cp:lastModifiedBy>Microsoft Office User</cp:lastModifiedBy>
  <cp:revision>2</cp:revision>
  <cp:lastPrinted>2024-09-24T14:25:00Z</cp:lastPrinted>
  <dcterms:created xsi:type="dcterms:W3CDTF">2024-09-24T14:26:00Z</dcterms:created>
  <dcterms:modified xsi:type="dcterms:W3CDTF">2024-09-24T14:26:00Z</dcterms:modified>
</cp:coreProperties>
</file>