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C8A8" w14:textId="23531E5D" w:rsidR="00835764" w:rsidRDefault="00B84BCC">
      <w:pPr>
        <w:pBdr>
          <w:bottom w:val="single" w:sz="4" w:space="1" w:color="auto"/>
        </w:pBdr>
        <w:tabs>
          <w:tab w:val="right" w:pos="9000"/>
        </w:tabs>
      </w:pPr>
      <w:r>
        <w:t>June 2020</w:t>
      </w:r>
      <w:r w:rsidR="00337A6D">
        <w:tab/>
        <w:t>7:345</w:t>
      </w:r>
      <w:r w:rsidR="00835764">
        <w:t>-</w:t>
      </w:r>
      <w:r w:rsidR="00337A6D">
        <w:t>AP</w:t>
      </w:r>
      <w:r w:rsidR="00255832">
        <w:t xml:space="preserve">, </w:t>
      </w:r>
      <w:r w:rsidR="00D267DE">
        <w:t>E3</w:t>
      </w:r>
    </w:p>
    <w:p w14:paraId="6B608DD3" w14:textId="77777777" w:rsidR="00835764" w:rsidRDefault="00835764">
      <w:pPr>
        <w:tabs>
          <w:tab w:val="right" w:pos="9000"/>
        </w:tabs>
      </w:pPr>
    </w:p>
    <w:p w14:paraId="722DCBB7" w14:textId="77777777" w:rsidR="00835764" w:rsidRPr="006D0895" w:rsidRDefault="00835764" w:rsidP="006D0895">
      <w:pPr>
        <w:pStyle w:val="Heading1"/>
      </w:pPr>
      <w:r w:rsidRPr="006D0895">
        <w:t>Students</w:t>
      </w:r>
    </w:p>
    <w:p w14:paraId="61ED1341" w14:textId="0BA7A9E4" w:rsidR="00835764" w:rsidRDefault="00835764" w:rsidP="006D0895">
      <w:pPr>
        <w:pStyle w:val="Heading2"/>
      </w:pPr>
      <w:r w:rsidRPr="006D0895">
        <w:t xml:space="preserve">Exhibit </w:t>
      </w:r>
      <w:r w:rsidR="006D0895" w:rsidRPr="006D0895">
        <w:t>–</w:t>
      </w:r>
      <w:r w:rsidRPr="006D0895">
        <w:t xml:space="preserve"> </w:t>
      </w:r>
      <w:r w:rsidR="006040AC">
        <w:t>Parent</w:t>
      </w:r>
      <w:r w:rsidR="00B945D8">
        <w:t xml:space="preserve"> Notification Letter for</w:t>
      </w:r>
      <w:r w:rsidR="00B47D97">
        <w:t xml:space="preserve"> Student Data Breach</w:t>
      </w:r>
    </w:p>
    <w:p w14:paraId="5F08947B" w14:textId="1119A821" w:rsidR="00D21721" w:rsidRDefault="007C7F3D" w:rsidP="00337A6D">
      <w:pPr>
        <w:pStyle w:val="List2"/>
        <w:ind w:left="0" w:firstLine="0"/>
        <w:rPr>
          <w:i/>
        </w:rPr>
      </w:pPr>
      <w:bookmarkStart w:id="0" w:name="dated"/>
      <w:bookmarkEnd w:id="0"/>
      <w:r>
        <w:rPr>
          <w:i/>
        </w:rPr>
        <w:t>Beginning July 1, 2021, u</w:t>
      </w:r>
      <w:r w:rsidR="00D21721">
        <w:rPr>
          <w:i/>
        </w:rPr>
        <w:t xml:space="preserve">se this sample letter to comply with the Student Online Personal Protection Act’s </w:t>
      </w:r>
      <w:r w:rsidR="00901AA5">
        <w:rPr>
          <w:i/>
        </w:rPr>
        <w:t>requirement that a school district must</w:t>
      </w:r>
      <w:r w:rsidR="00D21721">
        <w:rPr>
          <w:i/>
        </w:rPr>
        <w:t xml:space="preserve"> </w:t>
      </w:r>
      <w:r w:rsidR="002C6290">
        <w:rPr>
          <w:i/>
        </w:rPr>
        <w:t>notify the parent/guardian when the covered information of his/her child has been breached</w:t>
      </w:r>
      <w:r w:rsidR="00D21721">
        <w:rPr>
          <w:i/>
        </w:rPr>
        <w:t>. 105 ILCS 85/27(d), added by P.A. 101-516, eff. 7-1-21.</w:t>
      </w:r>
    </w:p>
    <w:p w14:paraId="673513CA" w14:textId="77777777" w:rsidR="00D21721" w:rsidRDefault="00D21721" w:rsidP="00337A6D">
      <w:pPr>
        <w:pStyle w:val="List2"/>
        <w:ind w:left="0" w:firstLine="0"/>
        <w:rPr>
          <w:i/>
        </w:rPr>
      </w:pPr>
    </w:p>
    <w:p w14:paraId="7A4515CE" w14:textId="77777777" w:rsidR="00835764" w:rsidRDefault="00ED49F2" w:rsidP="00337A6D">
      <w:pPr>
        <w:pStyle w:val="List2"/>
        <w:ind w:left="0" w:firstLine="0"/>
        <w:rPr>
          <w:i/>
        </w:rPr>
      </w:pPr>
      <w:r>
        <w:rPr>
          <w:i/>
        </w:rPr>
        <w:t>On District Letterhead</w:t>
      </w:r>
    </w:p>
    <w:p w14:paraId="47626F7B" w14:textId="77777777" w:rsidR="00ED49F2" w:rsidRDefault="00ED49F2" w:rsidP="00337A6D">
      <w:pPr>
        <w:pStyle w:val="List2"/>
        <w:ind w:left="0" w:firstLine="0"/>
        <w:rPr>
          <w:i/>
        </w:rPr>
      </w:pPr>
    </w:p>
    <w:p w14:paraId="265B8E0A" w14:textId="77777777" w:rsidR="00ED49F2" w:rsidRDefault="00ED49F2" w:rsidP="00337A6D">
      <w:pPr>
        <w:pStyle w:val="List2"/>
        <w:ind w:left="0" w:firstLine="0"/>
      </w:pPr>
      <w:r>
        <w:t>Re:  Student Data Breach Notification</w:t>
      </w:r>
    </w:p>
    <w:p w14:paraId="2164CCA2" w14:textId="77777777" w:rsidR="00ED49F2" w:rsidRDefault="00ED49F2" w:rsidP="00337A6D">
      <w:pPr>
        <w:pStyle w:val="List2"/>
        <w:ind w:left="0" w:firstLine="0"/>
      </w:pPr>
    </w:p>
    <w:p w14:paraId="330B22C4" w14:textId="77777777" w:rsidR="00ED49F2" w:rsidRPr="00ED49F2" w:rsidRDefault="00ED49F2" w:rsidP="00337A6D">
      <w:pPr>
        <w:pStyle w:val="List2"/>
        <w:ind w:left="0" w:firstLine="0"/>
      </w:pPr>
      <w:r>
        <w:t>Dear Parent(s)/Guardian(s)</w:t>
      </w:r>
      <w:r w:rsidR="00901AA5">
        <w:t>:</w:t>
      </w:r>
    </w:p>
    <w:p w14:paraId="4D4190B8" w14:textId="77777777" w:rsidR="0077795B" w:rsidRDefault="0077795B" w:rsidP="00337A6D">
      <w:pPr>
        <w:pStyle w:val="List2"/>
        <w:ind w:left="0" w:firstLine="0"/>
      </w:pPr>
    </w:p>
    <w:p w14:paraId="6759C2AD" w14:textId="184E65CB" w:rsidR="0077795B" w:rsidRDefault="0077795B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 xml:space="preserve">Despite the District’s ongoing efforts to ensure high levels of security and privacy in the use of online student data, we regret to inform you that </w:t>
      </w:r>
      <w:r w:rsidR="00D21721">
        <w:rPr>
          <w:szCs w:val="22"/>
        </w:rPr>
        <w:t xml:space="preserve">certain </w:t>
      </w:r>
      <w:r w:rsidR="00901AA5">
        <w:rPr>
          <w:szCs w:val="22"/>
        </w:rPr>
        <w:t>data</w:t>
      </w:r>
      <w:r w:rsidRPr="00ED49F2">
        <w:rPr>
          <w:szCs w:val="22"/>
        </w:rPr>
        <w:t xml:space="preserve"> about your child </w:t>
      </w:r>
      <w:r w:rsidR="004B3B8A">
        <w:rPr>
          <w:szCs w:val="22"/>
        </w:rPr>
        <w:t>[</w:t>
      </w:r>
      <w:r w:rsidR="00D21721">
        <w:rPr>
          <w:szCs w:val="22"/>
        </w:rPr>
        <w:t>was</w:t>
      </w:r>
      <w:r w:rsidR="004B3B8A">
        <w:rPr>
          <w:szCs w:val="22"/>
        </w:rPr>
        <w:t xml:space="preserve">] </w:t>
      </w:r>
      <w:r w:rsidR="004B3B8A" w:rsidRPr="004B3B8A">
        <w:rPr>
          <w:b/>
          <w:szCs w:val="22"/>
        </w:rPr>
        <w:t>OR</w:t>
      </w:r>
      <w:r w:rsidR="004B3B8A">
        <w:rPr>
          <w:szCs w:val="22"/>
        </w:rPr>
        <w:t xml:space="preserve"> [may have been]</w:t>
      </w:r>
      <w:r w:rsidRPr="00ED49F2">
        <w:rPr>
          <w:szCs w:val="22"/>
        </w:rPr>
        <w:t xml:space="preserve"> compromised in a recent breach of [</w:t>
      </w:r>
      <w:r w:rsidRPr="00ED49F2">
        <w:rPr>
          <w:i/>
          <w:szCs w:val="22"/>
        </w:rPr>
        <w:t>insert name of online site, service, or application</w:t>
      </w:r>
      <w:r w:rsidR="00901AA5">
        <w:rPr>
          <w:szCs w:val="22"/>
        </w:rPr>
        <w:t xml:space="preserve"> </w:t>
      </w:r>
      <w:r w:rsidR="00901AA5" w:rsidRPr="00901AA5">
        <w:rPr>
          <w:i/>
          <w:szCs w:val="22"/>
        </w:rPr>
        <w:t>and name</w:t>
      </w:r>
      <w:r w:rsidR="00901AA5">
        <w:rPr>
          <w:szCs w:val="22"/>
        </w:rPr>
        <w:t xml:space="preserve"> </w:t>
      </w:r>
      <w:r w:rsidR="00E065AA" w:rsidRPr="00ED49F2">
        <w:rPr>
          <w:i/>
          <w:szCs w:val="22"/>
        </w:rPr>
        <w:t>of operator</w:t>
      </w:r>
      <w:r w:rsidR="00E065AA" w:rsidRPr="00ED49F2">
        <w:rPr>
          <w:szCs w:val="22"/>
        </w:rPr>
        <w:t>]</w:t>
      </w:r>
      <w:r w:rsidR="00901AA5">
        <w:rPr>
          <w:szCs w:val="22"/>
        </w:rPr>
        <w:t xml:space="preserve"> </w:t>
      </w:r>
      <w:r w:rsidR="00901AA5" w:rsidRPr="00901AA5">
        <w:rPr>
          <w:b/>
          <w:szCs w:val="22"/>
        </w:rPr>
        <w:t>OR</w:t>
      </w:r>
      <w:r w:rsidR="00366181">
        <w:rPr>
          <w:szCs w:val="22"/>
        </w:rPr>
        <w:t xml:space="preserve"> [</w:t>
      </w:r>
      <w:r w:rsidR="00901AA5">
        <w:rPr>
          <w:szCs w:val="22"/>
        </w:rPr>
        <w:t>the District’s network]</w:t>
      </w:r>
      <w:r w:rsidRPr="00ED49F2">
        <w:rPr>
          <w:szCs w:val="22"/>
        </w:rPr>
        <w:t>. The breach [is estimated to have] occurred on [</w:t>
      </w:r>
      <w:r w:rsidRPr="00ED49F2">
        <w:rPr>
          <w:i/>
          <w:szCs w:val="22"/>
        </w:rPr>
        <w:t>insert date or date range</w:t>
      </w:r>
      <w:r w:rsidRPr="00ED49F2">
        <w:rPr>
          <w:szCs w:val="22"/>
        </w:rPr>
        <w:t>].  The followin</w:t>
      </w:r>
      <w:r w:rsidR="00F65A1B">
        <w:rPr>
          <w:szCs w:val="22"/>
        </w:rPr>
        <w:t xml:space="preserve">g information about your child </w:t>
      </w:r>
      <w:r w:rsidRPr="00ED49F2">
        <w:rPr>
          <w:szCs w:val="22"/>
        </w:rPr>
        <w:t xml:space="preserve">was </w:t>
      </w:r>
      <w:r w:rsidR="00F65A1B">
        <w:rPr>
          <w:szCs w:val="22"/>
        </w:rPr>
        <w:t>compromised:</w:t>
      </w:r>
    </w:p>
    <w:p w14:paraId="798E4CE6" w14:textId="77777777" w:rsidR="00F65A1B" w:rsidRPr="00ED49F2" w:rsidRDefault="00F65A1B" w:rsidP="00337A6D">
      <w:pPr>
        <w:pStyle w:val="List2"/>
        <w:ind w:left="0" w:firstLine="0"/>
        <w:rPr>
          <w:szCs w:val="22"/>
        </w:rPr>
      </w:pPr>
    </w:p>
    <w:p w14:paraId="6328FC87" w14:textId="289FCC61" w:rsidR="0077795B" w:rsidRPr="00ED49F2" w:rsidRDefault="0077795B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[</w:t>
      </w:r>
      <w:r w:rsidR="001E34DC">
        <w:rPr>
          <w:i/>
          <w:szCs w:val="22"/>
        </w:rPr>
        <w:t>I</w:t>
      </w:r>
      <w:r w:rsidRPr="00ED49F2">
        <w:rPr>
          <w:i/>
          <w:szCs w:val="22"/>
        </w:rPr>
        <w:t>nsert description of student’s covered information that was compromised or reasonably believed to have been compromised</w:t>
      </w:r>
      <w:r w:rsidRPr="00ED49F2">
        <w:rPr>
          <w:szCs w:val="22"/>
        </w:rPr>
        <w:t>]</w:t>
      </w:r>
    </w:p>
    <w:p w14:paraId="366CB351" w14:textId="77777777" w:rsidR="00E065AA" w:rsidRPr="00ED49F2" w:rsidRDefault="00E065AA" w:rsidP="00337A6D">
      <w:pPr>
        <w:pStyle w:val="List2"/>
        <w:ind w:left="0" w:firstLine="0"/>
        <w:rPr>
          <w:szCs w:val="22"/>
        </w:rPr>
      </w:pPr>
    </w:p>
    <w:p w14:paraId="0327EFF7" w14:textId="524A3793" w:rsidR="00E065AA" w:rsidRPr="00ED49F2" w:rsidRDefault="00020C7F" w:rsidP="00337A6D">
      <w:pPr>
        <w:pStyle w:val="List2"/>
        <w:ind w:left="0" w:firstLine="0"/>
        <w:rPr>
          <w:szCs w:val="22"/>
        </w:rPr>
      </w:pPr>
      <w:r>
        <w:rPr>
          <w:szCs w:val="22"/>
        </w:rPr>
        <w:t xml:space="preserve">The District [, </w:t>
      </w:r>
      <w:r w:rsidR="0077795B" w:rsidRPr="00ED49F2">
        <w:rPr>
          <w:szCs w:val="22"/>
        </w:rPr>
        <w:t xml:space="preserve">in cooperation with the </w:t>
      </w:r>
      <w:r w:rsidR="00E065AA" w:rsidRPr="00ED49F2">
        <w:rPr>
          <w:szCs w:val="22"/>
        </w:rPr>
        <w:t>operator</w:t>
      </w:r>
      <w:r>
        <w:rPr>
          <w:szCs w:val="22"/>
        </w:rPr>
        <w:t>,]</w:t>
      </w:r>
      <w:r w:rsidR="00A6230F" w:rsidRPr="00ED49F2">
        <w:rPr>
          <w:szCs w:val="22"/>
        </w:rPr>
        <w:t xml:space="preserve"> is actively</w:t>
      </w:r>
      <w:r w:rsidR="0077795B" w:rsidRPr="00ED49F2">
        <w:rPr>
          <w:szCs w:val="22"/>
        </w:rPr>
        <w:t xml:space="preserve"> investigating the causes and extent of the breach, and we will keep you apprised of any relevant updates. </w:t>
      </w:r>
      <w:r w:rsidR="00E065AA" w:rsidRPr="00ED49F2">
        <w:rPr>
          <w:szCs w:val="22"/>
        </w:rPr>
        <w:t xml:space="preserve">If you have </w:t>
      </w:r>
      <w:r w:rsidR="004B3B8A">
        <w:rPr>
          <w:szCs w:val="22"/>
        </w:rPr>
        <w:t>questions or concerns</w:t>
      </w:r>
      <w:r w:rsidR="00E065AA" w:rsidRPr="00ED49F2">
        <w:rPr>
          <w:szCs w:val="22"/>
        </w:rPr>
        <w:t xml:space="preserve"> in the meantime, you may contact me </w:t>
      </w:r>
      <w:r>
        <w:rPr>
          <w:szCs w:val="22"/>
        </w:rPr>
        <w:t>[</w:t>
      </w:r>
      <w:r w:rsidR="00E065AA" w:rsidRPr="00ED49F2">
        <w:rPr>
          <w:szCs w:val="22"/>
        </w:rPr>
        <w:t>or directly contact the operator involved</w:t>
      </w:r>
      <w:r>
        <w:rPr>
          <w:szCs w:val="22"/>
        </w:rPr>
        <w:t>]</w:t>
      </w:r>
      <w:r w:rsidR="00840BFD" w:rsidRPr="00ED49F2">
        <w:rPr>
          <w:szCs w:val="22"/>
        </w:rPr>
        <w:t>:</w:t>
      </w:r>
    </w:p>
    <w:p w14:paraId="2E2D796C" w14:textId="77777777" w:rsidR="00E065AA" w:rsidRPr="00ED49F2" w:rsidRDefault="00E065AA" w:rsidP="00337A6D">
      <w:pPr>
        <w:pStyle w:val="List2"/>
        <w:ind w:left="0" w:firstLine="0"/>
        <w:rPr>
          <w:szCs w:val="22"/>
        </w:rPr>
      </w:pPr>
    </w:p>
    <w:p w14:paraId="219801E6" w14:textId="16ED7DC5" w:rsidR="00E065AA" w:rsidRPr="00ED49F2" w:rsidRDefault="00E065AA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[</w:t>
      </w:r>
      <w:r w:rsidR="001E34DC">
        <w:rPr>
          <w:i/>
          <w:szCs w:val="22"/>
        </w:rPr>
        <w:t>I</w:t>
      </w:r>
      <w:r w:rsidRPr="00D27F9C">
        <w:rPr>
          <w:i/>
          <w:szCs w:val="22"/>
        </w:rPr>
        <w:t xml:space="preserve">nsert </w:t>
      </w:r>
      <w:r w:rsidR="008D5505" w:rsidRPr="00D27F9C">
        <w:rPr>
          <w:i/>
          <w:szCs w:val="22"/>
        </w:rPr>
        <w:t xml:space="preserve">Superintendent </w:t>
      </w:r>
      <w:r w:rsidRPr="00D27F9C">
        <w:rPr>
          <w:i/>
          <w:szCs w:val="22"/>
        </w:rPr>
        <w:t>contact information</w:t>
      </w:r>
      <w:r w:rsidRPr="00ED49F2">
        <w:rPr>
          <w:szCs w:val="22"/>
        </w:rPr>
        <w:t>]</w:t>
      </w:r>
    </w:p>
    <w:p w14:paraId="5F8DA0FB" w14:textId="77777777" w:rsidR="00E065AA" w:rsidRPr="00ED49F2" w:rsidRDefault="00E065AA" w:rsidP="00337A6D">
      <w:pPr>
        <w:pStyle w:val="List2"/>
        <w:ind w:left="0" w:firstLine="0"/>
        <w:rPr>
          <w:szCs w:val="22"/>
        </w:rPr>
      </w:pPr>
    </w:p>
    <w:p w14:paraId="5765A183" w14:textId="0442EA42" w:rsidR="00E065AA" w:rsidRPr="00ED49F2" w:rsidRDefault="00E065AA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[</w:t>
      </w:r>
      <w:r w:rsidR="001E34DC">
        <w:rPr>
          <w:i/>
          <w:szCs w:val="22"/>
        </w:rPr>
        <w:t>I</w:t>
      </w:r>
      <w:r w:rsidRPr="00D27F9C">
        <w:rPr>
          <w:i/>
          <w:szCs w:val="22"/>
        </w:rPr>
        <w:t>nsert operator contact information</w:t>
      </w:r>
      <w:r w:rsidR="00020C7F">
        <w:rPr>
          <w:i/>
          <w:szCs w:val="22"/>
        </w:rPr>
        <w:t>, if applicable</w:t>
      </w:r>
      <w:r w:rsidRPr="00ED49F2">
        <w:rPr>
          <w:szCs w:val="22"/>
        </w:rPr>
        <w:t>]</w:t>
      </w:r>
    </w:p>
    <w:p w14:paraId="70F200BE" w14:textId="77777777" w:rsidR="00E065AA" w:rsidRPr="00ED49F2" w:rsidRDefault="00E065AA" w:rsidP="00337A6D">
      <w:pPr>
        <w:pStyle w:val="List2"/>
        <w:ind w:left="0" w:firstLine="0"/>
        <w:rPr>
          <w:szCs w:val="22"/>
        </w:rPr>
      </w:pPr>
    </w:p>
    <w:p w14:paraId="0F137748" w14:textId="77777777" w:rsidR="00E065AA" w:rsidRPr="00ED49F2" w:rsidRDefault="00E065AA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 xml:space="preserve">You may </w:t>
      </w:r>
      <w:r w:rsidR="00840BFD" w:rsidRPr="00ED49F2">
        <w:rPr>
          <w:szCs w:val="22"/>
        </w:rPr>
        <w:t xml:space="preserve">also </w:t>
      </w:r>
      <w:r w:rsidRPr="00ED49F2">
        <w:rPr>
          <w:szCs w:val="22"/>
        </w:rPr>
        <w:t>obtain information from the Federal Trade Commission</w:t>
      </w:r>
      <w:r w:rsidR="00A6230F" w:rsidRPr="00ED49F2">
        <w:rPr>
          <w:szCs w:val="22"/>
        </w:rPr>
        <w:t xml:space="preserve"> (FTC)</w:t>
      </w:r>
      <w:r w:rsidRPr="00ED49F2">
        <w:rPr>
          <w:szCs w:val="22"/>
        </w:rPr>
        <w:t xml:space="preserve"> and consumer </w:t>
      </w:r>
      <w:r w:rsidR="00840BFD" w:rsidRPr="00ED49F2">
        <w:rPr>
          <w:szCs w:val="22"/>
        </w:rPr>
        <w:t>reporting agencies about fraud alerts and security freezes at:</w:t>
      </w:r>
    </w:p>
    <w:p w14:paraId="78D3BB2D" w14:textId="77777777" w:rsidR="00840BFD" w:rsidRPr="00ED49F2" w:rsidRDefault="00840BFD" w:rsidP="00337A6D">
      <w:pPr>
        <w:pStyle w:val="List2"/>
        <w:ind w:left="0" w:firstLine="0"/>
        <w:rPr>
          <w:szCs w:val="22"/>
        </w:rPr>
      </w:pPr>
    </w:p>
    <w:p w14:paraId="6DC0AC20" w14:textId="77777777" w:rsidR="00A6230F" w:rsidRPr="00ED49F2" w:rsidRDefault="00A6230F" w:rsidP="00337A6D">
      <w:pPr>
        <w:pStyle w:val="List2"/>
        <w:ind w:left="0" w:firstLine="0"/>
        <w:rPr>
          <w:b/>
          <w:szCs w:val="22"/>
        </w:rPr>
      </w:pPr>
      <w:r w:rsidRPr="00ED49F2">
        <w:rPr>
          <w:b/>
          <w:szCs w:val="22"/>
        </w:rPr>
        <w:t>FTC</w:t>
      </w:r>
    </w:p>
    <w:p w14:paraId="13982E5B" w14:textId="77777777" w:rsidR="00A6230F" w:rsidRPr="00ED49F2" w:rsidRDefault="00F36B00" w:rsidP="00337A6D">
      <w:pPr>
        <w:pStyle w:val="List2"/>
        <w:ind w:left="0" w:firstLine="0"/>
        <w:rPr>
          <w:szCs w:val="22"/>
        </w:rPr>
      </w:pPr>
      <w:hyperlink r:id="rId8" w:history="1">
        <w:r w:rsidR="00A6230F" w:rsidRPr="00ED49F2">
          <w:rPr>
            <w:rStyle w:val="Hyperlink"/>
            <w:szCs w:val="22"/>
          </w:rPr>
          <w:t>www.consumer.ftc.gov/articles/0279-extended-fraud-alerts-and-credit-freezes</w:t>
        </w:r>
      </w:hyperlink>
    </w:p>
    <w:p w14:paraId="50370DBC" w14:textId="77777777" w:rsidR="00ED49F2" w:rsidRPr="00ED49F2" w:rsidRDefault="00ED49F2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877-FTC-HELP (382-4537)</w:t>
      </w:r>
    </w:p>
    <w:p w14:paraId="6B16B35F" w14:textId="77777777" w:rsidR="00ED49F2" w:rsidRPr="00ED49F2" w:rsidRDefault="00ED49F2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Federal Trade Commission</w:t>
      </w:r>
    </w:p>
    <w:p w14:paraId="60EC27B0" w14:textId="77777777" w:rsidR="00ED49F2" w:rsidRPr="00ED49F2" w:rsidRDefault="00ED49F2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600 Pennsylvania Avenue, NW</w:t>
      </w:r>
    </w:p>
    <w:p w14:paraId="5EBB8598" w14:textId="77777777" w:rsidR="00ED49F2" w:rsidRPr="00ED49F2" w:rsidRDefault="00ED49F2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Washington, DC 20680</w:t>
      </w:r>
    </w:p>
    <w:p w14:paraId="5B00FF52" w14:textId="77777777" w:rsidR="00A6230F" w:rsidRPr="00ED49F2" w:rsidRDefault="00A6230F" w:rsidP="00337A6D">
      <w:pPr>
        <w:pStyle w:val="List2"/>
        <w:ind w:left="0" w:firstLine="0"/>
        <w:rPr>
          <w:szCs w:val="22"/>
        </w:rPr>
      </w:pPr>
    </w:p>
    <w:p w14:paraId="504FC43B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rStyle w:val="Strong"/>
          <w:sz w:val="22"/>
          <w:szCs w:val="22"/>
        </w:rPr>
        <w:t>Equifax</w:t>
      </w:r>
      <w:r w:rsidRPr="00ED49F2">
        <w:rPr>
          <w:sz w:val="22"/>
          <w:szCs w:val="22"/>
        </w:rPr>
        <w:br/>
      </w:r>
      <w:hyperlink r:id="rId9" w:history="1">
        <w:r w:rsidRPr="00ED49F2">
          <w:rPr>
            <w:rStyle w:val="Hyperlink"/>
            <w:sz w:val="22"/>
            <w:szCs w:val="22"/>
          </w:rPr>
          <w:t>www.equifax.com/personal/credit-report-services/</w:t>
        </w:r>
      </w:hyperlink>
      <w:r w:rsidRPr="00ED49F2">
        <w:rPr>
          <w:sz w:val="22"/>
          <w:szCs w:val="22"/>
        </w:rPr>
        <w:br/>
        <w:t>800-685-1111</w:t>
      </w:r>
    </w:p>
    <w:p w14:paraId="1F27E44D" w14:textId="77777777" w:rsidR="00ED49F2" w:rsidRDefault="00ED49F2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86E21C8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 xml:space="preserve">Equifax Information Services LLC </w:t>
      </w:r>
      <w:r w:rsidR="00ED49F2">
        <w:rPr>
          <w:sz w:val="22"/>
          <w:szCs w:val="22"/>
        </w:rPr>
        <w:t>(fraud alert)</w:t>
      </w:r>
    </w:p>
    <w:p w14:paraId="1412DE42" w14:textId="77777777" w:rsidR="008D5505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 xml:space="preserve">P.O. Box 105069 </w:t>
      </w:r>
    </w:p>
    <w:p w14:paraId="32E55355" w14:textId="77777777" w:rsidR="008D5505" w:rsidRPr="00ED49F2" w:rsidRDefault="008D5505" w:rsidP="008D55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Atlanta, GA 30348-5069</w:t>
      </w:r>
    </w:p>
    <w:p w14:paraId="22BAB70D" w14:textId="77777777" w:rsidR="008D5505" w:rsidRPr="00ED49F2" w:rsidRDefault="008D5505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00D3906" w14:textId="77777777" w:rsidR="008D5505" w:rsidRPr="00ED49F2" w:rsidRDefault="008D5505" w:rsidP="008D55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lastRenderedPageBreak/>
        <w:t xml:space="preserve">Equifax Information Services LLC </w:t>
      </w:r>
      <w:r w:rsidR="00ED49F2">
        <w:rPr>
          <w:sz w:val="22"/>
          <w:szCs w:val="22"/>
        </w:rPr>
        <w:t>(security freeze)</w:t>
      </w:r>
    </w:p>
    <w:p w14:paraId="46518A13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P.O. B</w:t>
      </w:r>
      <w:r w:rsidR="00ED49F2">
        <w:rPr>
          <w:sz w:val="22"/>
          <w:szCs w:val="22"/>
        </w:rPr>
        <w:t>ox 105788</w:t>
      </w:r>
    </w:p>
    <w:p w14:paraId="412ACE26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Atlanta, GA 30348-5069</w:t>
      </w:r>
    </w:p>
    <w:p w14:paraId="22335A14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71375AD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rStyle w:val="Strong"/>
          <w:sz w:val="22"/>
          <w:szCs w:val="22"/>
        </w:rPr>
        <w:t>Experian</w:t>
      </w:r>
      <w:r w:rsidRPr="00ED49F2">
        <w:rPr>
          <w:sz w:val="22"/>
          <w:szCs w:val="22"/>
        </w:rPr>
        <w:br/>
      </w:r>
      <w:hyperlink r:id="rId10" w:history="1">
        <w:r w:rsidRPr="00ED49F2">
          <w:rPr>
            <w:rStyle w:val="Hyperlink"/>
            <w:sz w:val="22"/>
            <w:szCs w:val="22"/>
          </w:rPr>
          <w:t>www.experian.com/help/</w:t>
        </w:r>
      </w:hyperlink>
      <w:r w:rsidRPr="00ED49F2">
        <w:rPr>
          <w:sz w:val="22"/>
          <w:szCs w:val="22"/>
        </w:rPr>
        <w:br/>
        <w:t>888-EXPERIAN (888-397-3742)</w:t>
      </w:r>
    </w:p>
    <w:p w14:paraId="30964178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F5A6759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rStyle w:val="Strong"/>
          <w:sz w:val="22"/>
          <w:szCs w:val="22"/>
        </w:rPr>
        <w:t>Transunion</w:t>
      </w:r>
      <w:r w:rsidRPr="00ED49F2">
        <w:rPr>
          <w:sz w:val="22"/>
          <w:szCs w:val="22"/>
        </w:rPr>
        <w:br/>
      </w:r>
      <w:hyperlink r:id="rId11" w:history="1">
        <w:r w:rsidRPr="00ED49F2">
          <w:rPr>
            <w:rStyle w:val="Hyperlink"/>
            <w:sz w:val="22"/>
            <w:szCs w:val="22"/>
          </w:rPr>
          <w:t>https://www.transunion.com/credit-help</w:t>
        </w:r>
      </w:hyperlink>
      <w:r w:rsidRPr="00ED49F2">
        <w:rPr>
          <w:sz w:val="22"/>
          <w:szCs w:val="22"/>
        </w:rPr>
        <w:t xml:space="preserve"> </w:t>
      </w:r>
    </w:p>
    <w:p w14:paraId="1A3B7124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888-909-8872</w:t>
      </w:r>
    </w:p>
    <w:p w14:paraId="75702135" w14:textId="77777777" w:rsidR="00ED49F2" w:rsidRDefault="00ED49F2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9B6D1C2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Transunion Fraud Victim Assistance</w:t>
      </w:r>
      <w:r w:rsidR="008D5505" w:rsidRPr="00ED49F2">
        <w:rPr>
          <w:sz w:val="22"/>
          <w:szCs w:val="22"/>
        </w:rPr>
        <w:t xml:space="preserve"> (fraud alert)</w:t>
      </w:r>
    </w:p>
    <w:p w14:paraId="2599E1B6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P.O. Box 2000</w:t>
      </w:r>
    </w:p>
    <w:p w14:paraId="1B74BB9E" w14:textId="77777777" w:rsidR="00A6230F" w:rsidRPr="00ED49F2" w:rsidRDefault="00A6230F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Chester, PA 19016</w:t>
      </w:r>
    </w:p>
    <w:p w14:paraId="684E4E39" w14:textId="77777777" w:rsidR="008D5505" w:rsidRPr="00ED49F2" w:rsidRDefault="008D5505" w:rsidP="00A623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F1BD8E5" w14:textId="77777777" w:rsidR="008D5505" w:rsidRPr="00ED49F2" w:rsidRDefault="008D5505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Transunion (security freeze)</w:t>
      </w:r>
    </w:p>
    <w:p w14:paraId="0A5C8A28" w14:textId="77777777" w:rsidR="008D5505" w:rsidRPr="00ED49F2" w:rsidRDefault="008D5505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P.O. Box 160</w:t>
      </w:r>
    </w:p>
    <w:p w14:paraId="1B2CE684" w14:textId="77777777" w:rsidR="008D5505" w:rsidRPr="00ED49F2" w:rsidRDefault="008D5505" w:rsidP="00A6230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49F2">
        <w:rPr>
          <w:sz w:val="22"/>
          <w:szCs w:val="22"/>
        </w:rPr>
        <w:t>Woodlyn, PA 19094</w:t>
      </w:r>
    </w:p>
    <w:p w14:paraId="24942275" w14:textId="77777777" w:rsidR="008D5505" w:rsidRPr="00ED49F2" w:rsidRDefault="008D5505" w:rsidP="00337A6D">
      <w:pPr>
        <w:pStyle w:val="List2"/>
        <w:ind w:left="0" w:firstLine="0"/>
        <w:rPr>
          <w:szCs w:val="22"/>
        </w:rPr>
      </w:pPr>
    </w:p>
    <w:p w14:paraId="61FAA770" w14:textId="77777777" w:rsidR="0077795B" w:rsidRPr="00ED49F2" w:rsidRDefault="008D5505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Sincerely,</w:t>
      </w:r>
    </w:p>
    <w:p w14:paraId="67F651B8" w14:textId="77777777" w:rsidR="008D5505" w:rsidRPr="00ED49F2" w:rsidRDefault="008D5505" w:rsidP="00337A6D">
      <w:pPr>
        <w:pStyle w:val="List2"/>
        <w:ind w:left="0" w:firstLine="0"/>
        <w:rPr>
          <w:szCs w:val="22"/>
        </w:rPr>
      </w:pPr>
    </w:p>
    <w:p w14:paraId="6FA9FE78" w14:textId="77777777" w:rsidR="008D5505" w:rsidRPr="00ED49F2" w:rsidRDefault="008D5505" w:rsidP="00337A6D">
      <w:pPr>
        <w:pStyle w:val="List2"/>
        <w:ind w:left="0" w:firstLine="0"/>
        <w:rPr>
          <w:szCs w:val="22"/>
        </w:rPr>
      </w:pPr>
      <w:r w:rsidRPr="00ED49F2">
        <w:rPr>
          <w:szCs w:val="22"/>
        </w:rPr>
        <w:t>Superintendent</w:t>
      </w:r>
    </w:p>
    <w:sectPr w:rsidR="008D5505" w:rsidRPr="00ED49F2">
      <w:footerReference w:type="default" r:id="rId12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6A7B" w14:textId="77777777" w:rsidR="00F36B00" w:rsidRDefault="00F36B00">
      <w:r>
        <w:separator/>
      </w:r>
    </w:p>
  </w:endnote>
  <w:endnote w:type="continuationSeparator" w:id="0">
    <w:p w14:paraId="1DA6051B" w14:textId="77777777" w:rsidR="00F36B00" w:rsidRDefault="00F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9B5D" w14:textId="77777777" w:rsidR="00867624" w:rsidRDefault="00867624">
    <w:pPr>
      <w:pStyle w:val="Footer"/>
      <w:tabs>
        <w:tab w:val="clear" w:pos="4320"/>
        <w:tab w:val="clear" w:pos="8640"/>
        <w:tab w:val="right" w:pos="9000"/>
      </w:tabs>
    </w:pPr>
  </w:p>
  <w:p w14:paraId="418F0EBC" w14:textId="45AE6F39" w:rsidR="00867624" w:rsidRDefault="00337A6D">
    <w:pPr>
      <w:pStyle w:val="Footer"/>
      <w:tabs>
        <w:tab w:val="clear" w:pos="4320"/>
        <w:tab w:val="clear" w:pos="8640"/>
        <w:tab w:val="right" w:pos="9000"/>
      </w:tabs>
    </w:pPr>
    <w:r>
      <w:t>7:345</w:t>
    </w:r>
    <w:r w:rsidR="00867624">
      <w:t>-</w:t>
    </w:r>
    <w:r w:rsidR="00677EA1">
      <w:t xml:space="preserve">AP, </w:t>
    </w:r>
    <w:r w:rsidR="00ED49F2">
      <w:t>E3</w:t>
    </w:r>
    <w:r w:rsidR="00867624">
      <w:tab/>
      <w:t xml:space="preserve">Page </w:t>
    </w:r>
    <w:r w:rsidR="00867624">
      <w:fldChar w:fldCharType="begin"/>
    </w:r>
    <w:r w:rsidR="00867624">
      <w:instrText xml:space="preserve"> PAGE  \* MERGEFORMAT </w:instrText>
    </w:r>
    <w:r w:rsidR="00867624">
      <w:fldChar w:fldCharType="separate"/>
    </w:r>
    <w:r w:rsidR="00EE13A3">
      <w:rPr>
        <w:noProof/>
      </w:rPr>
      <w:t>1</w:t>
    </w:r>
    <w:r w:rsidR="00867624">
      <w:fldChar w:fldCharType="end"/>
    </w:r>
    <w:r w:rsidR="00867624">
      <w:t xml:space="preserve"> of </w:t>
    </w:r>
    <w:r>
      <w:rPr>
        <w:noProof/>
      </w:rPr>
      <w:fldChar w:fldCharType="begin"/>
    </w:r>
    <w:r>
      <w:rPr>
        <w:noProof/>
      </w:rPr>
      <w:instrText xml:space="preserve"> SECTIONPAGES  \* MERGEFORMAT </w:instrText>
    </w:r>
    <w:r>
      <w:rPr>
        <w:noProof/>
      </w:rPr>
      <w:fldChar w:fldCharType="separate"/>
    </w:r>
    <w:r w:rsidR="00B84BC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F0079" w14:textId="77777777" w:rsidR="00F36B00" w:rsidRDefault="00F36B00" w:rsidP="00662091">
      <w:r>
        <w:separator/>
      </w:r>
    </w:p>
    <w:p w14:paraId="6E11EE02" w14:textId="77777777" w:rsidR="00F36B00" w:rsidRPr="00662091" w:rsidRDefault="00F36B00" w:rsidP="00662091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14:paraId="1F70C051" w14:textId="77777777" w:rsidR="00F36B00" w:rsidRDefault="00F36B00" w:rsidP="00662091">
      <w:r>
        <w:separator/>
      </w:r>
    </w:p>
    <w:p w14:paraId="438EA104" w14:textId="77777777" w:rsidR="00F36B00" w:rsidRPr="00662091" w:rsidRDefault="00F36B00" w:rsidP="00662091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C68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CE288E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9C295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EE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9D4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EA27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50261B"/>
    <w:multiLevelType w:val="hybridMultilevel"/>
    <w:tmpl w:val="01962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F71B4B"/>
    <w:multiLevelType w:val="singleLevel"/>
    <w:tmpl w:val="31223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3780CBF"/>
    <w:multiLevelType w:val="singleLevel"/>
    <w:tmpl w:val="F95856BE"/>
    <w:lvl w:ilvl="0">
      <w:start w:val="7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 w15:restartNumberingAfterBreak="0">
    <w:nsid w:val="156B6ED2"/>
    <w:multiLevelType w:val="singleLevel"/>
    <w:tmpl w:val="9F145C62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29821AFE"/>
    <w:multiLevelType w:val="singleLevel"/>
    <w:tmpl w:val="BD3C4AA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36FA4CBD"/>
    <w:multiLevelType w:val="singleLevel"/>
    <w:tmpl w:val="BD3C4AA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3B6252B5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3D157D6C"/>
    <w:multiLevelType w:val="hybridMultilevel"/>
    <w:tmpl w:val="F87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C717C"/>
    <w:multiLevelType w:val="singleLevel"/>
    <w:tmpl w:val="BD3C4AA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43781849"/>
    <w:multiLevelType w:val="hybridMultilevel"/>
    <w:tmpl w:val="BD3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5796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8E879E5"/>
    <w:multiLevelType w:val="singleLevel"/>
    <w:tmpl w:val="3B48C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D9B4EB6"/>
    <w:multiLevelType w:val="singleLevel"/>
    <w:tmpl w:val="BD3C4AA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5F9E6E19"/>
    <w:multiLevelType w:val="singleLevel"/>
    <w:tmpl w:val="96663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62AA645D"/>
    <w:multiLevelType w:val="hybridMultilevel"/>
    <w:tmpl w:val="328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47FD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C56906"/>
    <w:multiLevelType w:val="singleLevel"/>
    <w:tmpl w:val="5FFA6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759E091C"/>
    <w:multiLevelType w:val="singleLevel"/>
    <w:tmpl w:val="50D093B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78692A5A"/>
    <w:multiLevelType w:val="hybridMultilevel"/>
    <w:tmpl w:val="E4EE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1"/>
  </w:num>
  <w:num w:numId="8">
    <w:abstractNumId w:val="23"/>
  </w:num>
  <w:num w:numId="9">
    <w:abstractNumId w:val="22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2"/>
  </w:num>
  <w:num w:numId="15">
    <w:abstractNumId w:val="16"/>
  </w:num>
  <w:num w:numId="16">
    <w:abstractNumId w:val="6"/>
  </w:num>
  <w:num w:numId="17">
    <w:abstractNumId w:val="24"/>
  </w:num>
  <w:num w:numId="18">
    <w:abstractNumId w:val="20"/>
  </w:num>
  <w:num w:numId="19">
    <w:abstractNumId w:val="13"/>
  </w:num>
  <w:num w:numId="20">
    <w:abstractNumId w:val="15"/>
  </w:num>
  <w:num w:numId="21">
    <w:abstractNumId w:val="18"/>
  </w:num>
  <w:num w:numId="22">
    <w:abstractNumId w:val="9"/>
  </w:num>
  <w:num w:numId="23">
    <w:abstractNumId w:val="11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F1"/>
    <w:rsid w:val="00020C7F"/>
    <w:rsid w:val="00021C1D"/>
    <w:rsid w:val="00030BBD"/>
    <w:rsid w:val="0008047D"/>
    <w:rsid w:val="00084647"/>
    <w:rsid w:val="000A06C9"/>
    <w:rsid w:val="000A4A91"/>
    <w:rsid w:val="000C4D00"/>
    <w:rsid w:val="000D4747"/>
    <w:rsid w:val="000D62AA"/>
    <w:rsid w:val="000F510F"/>
    <w:rsid w:val="00121BF3"/>
    <w:rsid w:val="00123350"/>
    <w:rsid w:val="0012782C"/>
    <w:rsid w:val="00136C7A"/>
    <w:rsid w:val="00160458"/>
    <w:rsid w:val="00165DB7"/>
    <w:rsid w:val="00177FA4"/>
    <w:rsid w:val="00193FB0"/>
    <w:rsid w:val="001A4D75"/>
    <w:rsid w:val="001B19F4"/>
    <w:rsid w:val="001B4A5A"/>
    <w:rsid w:val="001C63EC"/>
    <w:rsid w:val="001D0AB0"/>
    <w:rsid w:val="001D6F69"/>
    <w:rsid w:val="001E34DC"/>
    <w:rsid w:val="001E6665"/>
    <w:rsid w:val="001F53E4"/>
    <w:rsid w:val="00203940"/>
    <w:rsid w:val="00215ABC"/>
    <w:rsid w:val="002236D8"/>
    <w:rsid w:val="00230355"/>
    <w:rsid w:val="0023104C"/>
    <w:rsid w:val="00240699"/>
    <w:rsid w:val="00244560"/>
    <w:rsid w:val="00244958"/>
    <w:rsid w:val="00245037"/>
    <w:rsid w:val="00254D8C"/>
    <w:rsid w:val="00255832"/>
    <w:rsid w:val="00266BF6"/>
    <w:rsid w:val="002709B6"/>
    <w:rsid w:val="00276228"/>
    <w:rsid w:val="00277C35"/>
    <w:rsid w:val="0028035C"/>
    <w:rsid w:val="0028268A"/>
    <w:rsid w:val="002907D2"/>
    <w:rsid w:val="00293A9E"/>
    <w:rsid w:val="0029516C"/>
    <w:rsid w:val="002A22F1"/>
    <w:rsid w:val="002A5D7B"/>
    <w:rsid w:val="002B590E"/>
    <w:rsid w:val="002C1613"/>
    <w:rsid w:val="002C25A7"/>
    <w:rsid w:val="002C5579"/>
    <w:rsid w:val="002C6290"/>
    <w:rsid w:val="002D4B9A"/>
    <w:rsid w:val="002D4C55"/>
    <w:rsid w:val="002D564C"/>
    <w:rsid w:val="002E715E"/>
    <w:rsid w:val="002E7B50"/>
    <w:rsid w:val="00303756"/>
    <w:rsid w:val="00304A97"/>
    <w:rsid w:val="003160AA"/>
    <w:rsid w:val="0032399C"/>
    <w:rsid w:val="00336AD2"/>
    <w:rsid w:val="00337A6D"/>
    <w:rsid w:val="00343F33"/>
    <w:rsid w:val="003569E4"/>
    <w:rsid w:val="00366181"/>
    <w:rsid w:val="003747CB"/>
    <w:rsid w:val="003832AB"/>
    <w:rsid w:val="00383DA6"/>
    <w:rsid w:val="003A2570"/>
    <w:rsid w:val="003A2E39"/>
    <w:rsid w:val="003A3C83"/>
    <w:rsid w:val="003A5903"/>
    <w:rsid w:val="003B6BE1"/>
    <w:rsid w:val="003D4C8B"/>
    <w:rsid w:val="003E0E12"/>
    <w:rsid w:val="003E3493"/>
    <w:rsid w:val="003E78E2"/>
    <w:rsid w:val="003F18D9"/>
    <w:rsid w:val="004114DA"/>
    <w:rsid w:val="00433CAB"/>
    <w:rsid w:val="00436260"/>
    <w:rsid w:val="004466A0"/>
    <w:rsid w:val="00466B1C"/>
    <w:rsid w:val="004836B9"/>
    <w:rsid w:val="00484B3E"/>
    <w:rsid w:val="0048571C"/>
    <w:rsid w:val="0049209A"/>
    <w:rsid w:val="00496CB1"/>
    <w:rsid w:val="00497015"/>
    <w:rsid w:val="004B3B8A"/>
    <w:rsid w:val="004B6AE8"/>
    <w:rsid w:val="004B72CA"/>
    <w:rsid w:val="004C62BB"/>
    <w:rsid w:val="005028CA"/>
    <w:rsid w:val="00514A9D"/>
    <w:rsid w:val="00521C8C"/>
    <w:rsid w:val="005410D5"/>
    <w:rsid w:val="00550B91"/>
    <w:rsid w:val="00552FAD"/>
    <w:rsid w:val="00563008"/>
    <w:rsid w:val="00573D49"/>
    <w:rsid w:val="005A480E"/>
    <w:rsid w:val="005B27D8"/>
    <w:rsid w:val="005C0385"/>
    <w:rsid w:val="005E671B"/>
    <w:rsid w:val="005F083A"/>
    <w:rsid w:val="005F2DB6"/>
    <w:rsid w:val="00600805"/>
    <w:rsid w:val="00600FC9"/>
    <w:rsid w:val="00601FA4"/>
    <w:rsid w:val="006040AC"/>
    <w:rsid w:val="00612EB5"/>
    <w:rsid w:val="00622572"/>
    <w:rsid w:val="00633B09"/>
    <w:rsid w:val="006433E0"/>
    <w:rsid w:val="00653550"/>
    <w:rsid w:val="006563BA"/>
    <w:rsid w:val="00661922"/>
    <w:rsid w:val="00661D5D"/>
    <w:rsid w:val="00662091"/>
    <w:rsid w:val="00666A18"/>
    <w:rsid w:val="00671BE7"/>
    <w:rsid w:val="00677EA1"/>
    <w:rsid w:val="006804EE"/>
    <w:rsid w:val="00680DF1"/>
    <w:rsid w:val="00683244"/>
    <w:rsid w:val="006C0D6E"/>
    <w:rsid w:val="006D0895"/>
    <w:rsid w:val="006D35C7"/>
    <w:rsid w:val="00702D55"/>
    <w:rsid w:val="0071032B"/>
    <w:rsid w:val="007127EC"/>
    <w:rsid w:val="00717DBD"/>
    <w:rsid w:val="00724A41"/>
    <w:rsid w:val="007657CE"/>
    <w:rsid w:val="00770C9E"/>
    <w:rsid w:val="0077237A"/>
    <w:rsid w:val="00774AA3"/>
    <w:rsid w:val="0077795B"/>
    <w:rsid w:val="0079703F"/>
    <w:rsid w:val="007A4401"/>
    <w:rsid w:val="007A7AA8"/>
    <w:rsid w:val="007B0209"/>
    <w:rsid w:val="007B151B"/>
    <w:rsid w:val="007C7F3D"/>
    <w:rsid w:val="007D0EB5"/>
    <w:rsid w:val="007E1647"/>
    <w:rsid w:val="007F72C1"/>
    <w:rsid w:val="0080402F"/>
    <w:rsid w:val="00805DAC"/>
    <w:rsid w:val="00833C52"/>
    <w:rsid w:val="00835764"/>
    <w:rsid w:val="0083669B"/>
    <w:rsid w:val="00836C0F"/>
    <w:rsid w:val="0083751C"/>
    <w:rsid w:val="00840BFD"/>
    <w:rsid w:val="008546C8"/>
    <w:rsid w:val="00867624"/>
    <w:rsid w:val="00870FCE"/>
    <w:rsid w:val="00875502"/>
    <w:rsid w:val="00884943"/>
    <w:rsid w:val="00892BD4"/>
    <w:rsid w:val="008949C1"/>
    <w:rsid w:val="008965A1"/>
    <w:rsid w:val="008A503D"/>
    <w:rsid w:val="008B4594"/>
    <w:rsid w:val="008D1869"/>
    <w:rsid w:val="008D5505"/>
    <w:rsid w:val="008D661F"/>
    <w:rsid w:val="008D7CFD"/>
    <w:rsid w:val="008F738D"/>
    <w:rsid w:val="00901AA5"/>
    <w:rsid w:val="0091146D"/>
    <w:rsid w:val="00922C73"/>
    <w:rsid w:val="009305D1"/>
    <w:rsid w:val="00942FE9"/>
    <w:rsid w:val="00946234"/>
    <w:rsid w:val="009675F4"/>
    <w:rsid w:val="009716F3"/>
    <w:rsid w:val="009940ED"/>
    <w:rsid w:val="009B75D5"/>
    <w:rsid w:val="009B77DE"/>
    <w:rsid w:val="009C342D"/>
    <w:rsid w:val="009D1510"/>
    <w:rsid w:val="009E0CDC"/>
    <w:rsid w:val="009E33ED"/>
    <w:rsid w:val="009E6BAE"/>
    <w:rsid w:val="00A00FE5"/>
    <w:rsid w:val="00A018C2"/>
    <w:rsid w:val="00A07574"/>
    <w:rsid w:val="00A3369A"/>
    <w:rsid w:val="00A42FF4"/>
    <w:rsid w:val="00A43E28"/>
    <w:rsid w:val="00A53F8A"/>
    <w:rsid w:val="00A54B69"/>
    <w:rsid w:val="00A6230F"/>
    <w:rsid w:val="00A75EB8"/>
    <w:rsid w:val="00A85FB7"/>
    <w:rsid w:val="00A90979"/>
    <w:rsid w:val="00AB2C49"/>
    <w:rsid w:val="00AB50BE"/>
    <w:rsid w:val="00AB6E91"/>
    <w:rsid w:val="00AC1F77"/>
    <w:rsid w:val="00AC3263"/>
    <w:rsid w:val="00AD585C"/>
    <w:rsid w:val="00AF11AB"/>
    <w:rsid w:val="00B028FC"/>
    <w:rsid w:val="00B05A29"/>
    <w:rsid w:val="00B111FE"/>
    <w:rsid w:val="00B156AA"/>
    <w:rsid w:val="00B1611F"/>
    <w:rsid w:val="00B3221E"/>
    <w:rsid w:val="00B47D97"/>
    <w:rsid w:val="00B54809"/>
    <w:rsid w:val="00B560DA"/>
    <w:rsid w:val="00B647F1"/>
    <w:rsid w:val="00B84BCC"/>
    <w:rsid w:val="00B93362"/>
    <w:rsid w:val="00B945D8"/>
    <w:rsid w:val="00BA3A85"/>
    <w:rsid w:val="00BB0AFF"/>
    <w:rsid w:val="00BC324C"/>
    <w:rsid w:val="00BD68CF"/>
    <w:rsid w:val="00C0319E"/>
    <w:rsid w:val="00C22BE6"/>
    <w:rsid w:val="00C47638"/>
    <w:rsid w:val="00C50CE8"/>
    <w:rsid w:val="00C71B00"/>
    <w:rsid w:val="00C7757F"/>
    <w:rsid w:val="00C82488"/>
    <w:rsid w:val="00C96198"/>
    <w:rsid w:val="00C96B90"/>
    <w:rsid w:val="00CA7462"/>
    <w:rsid w:val="00CB2C8D"/>
    <w:rsid w:val="00CB302D"/>
    <w:rsid w:val="00CD69DA"/>
    <w:rsid w:val="00CD74A2"/>
    <w:rsid w:val="00CE03CC"/>
    <w:rsid w:val="00CE33E3"/>
    <w:rsid w:val="00CE50A3"/>
    <w:rsid w:val="00CE6B5D"/>
    <w:rsid w:val="00D158B7"/>
    <w:rsid w:val="00D21721"/>
    <w:rsid w:val="00D2616E"/>
    <w:rsid w:val="00D267DE"/>
    <w:rsid w:val="00D27F9C"/>
    <w:rsid w:val="00D364B3"/>
    <w:rsid w:val="00D45525"/>
    <w:rsid w:val="00D61EA4"/>
    <w:rsid w:val="00D65AE1"/>
    <w:rsid w:val="00D66AA9"/>
    <w:rsid w:val="00DA06DF"/>
    <w:rsid w:val="00DA5501"/>
    <w:rsid w:val="00DC05D3"/>
    <w:rsid w:val="00DC0AC1"/>
    <w:rsid w:val="00DC7344"/>
    <w:rsid w:val="00DD7228"/>
    <w:rsid w:val="00DE78E9"/>
    <w:rsid w:val="00DF2320"/>
    <w:rsid w:val="00DF246C"/>
    <w:rsid w:val="00E01762"/>
    <w:rsid w:val="00E05253"/>
    <w:rsid w:val="00E065AA"/>
    <w:rsid w:val="00E1541B"/>
    <w:rsid w:val="00E226FC"/>
    <w:rsid w:val="00E307D4"/>
    <w:rsid w:val="00E32704"/>
    <w:rsid w:val="00E464A8"/>
    <w:rsid w:val="00E4786F"/>
    <w:rsid w:val="00E744D3"/>
    <w:rsid w:val="00E800C0"/>
    <w:rsid w:val="00E81444"/>
    <w:rsid w:val="00E87E32"/>
    <w:rsid w:val="00EB1AF0"/>
    <w:rsid w:val="00EB5F7B"/>
    <w:rsid w:val="00EC60A8"/>
    <w:rsid w:val="00ED01DE"/>
    <w:rsid w:val="00ED49F2"/>
    <w:rsid w:val="00EE0115"/>
    <w:rsid w:val="00EE13A3"/>
    <w:rsid w:val="00EE650C"/>
    <w:rsid w:val="00F074B8"/>
    <w:rsid w:val="00F1346F"/>
    <w:rsid w:val="00F21CAA"/>
    <w:rsid w:val="00F2402E"/>
    <w:rsid w:val="00F33509"/>
    <w:rsid w:val="00F36B00"/>
    <w:rsid w:val="00F4144A"/>
    <w:rsid w:val="00F50CBD"/>
    <w:rsid w:val="00F65A1B"/>
    <w:rsid w:val="00F804FC"/>
    <w:rsid w:val="00F83F4E"/>
    <w:rsid w:val="00FB028C"/>
    <w:rsid w:val="00FD2AE6"/>
    <w:rsid w:val="00FD4C62"/>
    <w:rsid w:val="00FE0EC5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CA5EF"/>
  <w15:chartTrackingRefBased/>
  <w15:docId w15:val="{1AB53030-0170-4C22-9DD8-E2F2773F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60" w:after="60"/>
      <w:jc w:val="both"/>
    </w:pPr>
  </w:style>
  <w:style w:type="paragraph" w:styleId="BodyTextIndent">
    <w:name w:val="Body Text Indent"/>
    <w:basedOn w:val="Normal"/>
    <w:pPr>
      <w:spacing w:before="60" w:after="60"/>
      <w:ind w:left="360"/>
      <w:jc w:val="both"/>
    </w:pPr>
  </w:style>
  <w:style w:type="paragraph" w:customStyle="1" w:styleId="BULLET">
    <w:name w:val="BULLET"/>
    <w:basedOn w:val="Normal"/>
    <w:pPr>
      <w:ind w:left="1080" w:hanging="360"/>
      <w:jc w:val="both"/>
    </w:pPr>
  </w:style>
  <w:style w:type="paragraph" w:customStyle="1" w:styleId="CROSSREF">
    <w:name w:val="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link w:val="FootnoteTextChar"/>
    <w:semiHidden/>
    <w:pPr>
      <w:keepLines/>
      <w:ind w:firstLine="360"/>
      <w:jc w:val="both"/>
    </w:pPr>
    <w:rPr>
      <w:sz w:val="18"/>
    </w:rPr>
  </w:style>
  <w:style w:type="paragraph" w:customStyle="1" w:styleId="FootnoteBullet">
    <w:name w:val="Footnote Bullet"/>
    <w:basedOn w:val="FootnoteText"/>
    <w:pPr>
      <w:ind w:left="994" w:hanging="274"/>
    </w:pPr>
  </w:style>
  <w:style w:type="paragraph" w:customStyle="1" w:styleId="FootnoteIndent">
    <w:name w:val="Footnote Indent"/>
    <w:basedOn w:val="FootnoteText"/>
    <w:pPr>
      <w:ind w:left="720" w:right="720"/>
    </w:pPr>
  </w:style>
  <w:style w:type="paragraph" w:customStyle="1" w:styleId="FootnoteNumberedIndent">
    <w:name w:val="Footnote Numbered Indent"/>
    <w:basedOn w:val="FootnoteText"/>
    <w:pPr>
      <w:ind w:left="1080" w:hanging="360"/>
    </w:pPr>
  </w:style>
  <w:style w:type="paragraph" w:customStyle="1" w:styleId="FootnoteQuote">
    <w:name w:val="Footnote Quote"/>
    <w:basedOn w:val="FootnoteText"/>
    <w:pPr>
      <w:ind w:left="1080" w:right="1080" w:firstLine="0"/>
    </w:pPr>
  </w:style>
  <w:style w:type="character" w:styleId="FootnoteReference">
    <w:name w:val="footnote reference"/>
    <w:semiHidden/>
    <w:rPr>
      <w:b/>
      <w:position w:val="2"/>
      <w:sz w:val="18"/>
    </w:rPr>
  </w:style>
  <w:style w:type="character" w:customStyle="1" w:styleId="HIDDEN">
    <w:name w:val="HIDDEN"/>
    <w:rPr>
      <w:vanish/>
      <w:vertAlign w:val="baseline"/>
    </w:rPr>
  </w:style>
  <w:style w:type="paragraph" w:customStyle="1" w:styleId="LEGALREF">
    <w:name w:val="LEGAL REF"/>
    <w:basedOn w:val="Normal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pPr>
      <w:tabs>
        <w:tab w:val="clear" w:pos="1800"/>
      </w:tabs>
      <w:spacing w:before="0"/>
      <w:ind w:hanging="360"/>
    </w:pPr>
  </w:style>
  <w:style w:type="paragraph" w:styleId="List">
    <w:name w:val="List"/>
    <w:basedOn w:val="Normal"/>
    <w:pPr>
      <w:ind w:left="360" w:hanging="360"/>
      <w:jc w:val="both"/>
    </w:pPr>
  </w:style>
  <w:style w:type="paragraph" w:styleId="List2">
    <w:name w:val="List 2"/>
    <w:basedOn w:val="Normal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pPr>
      <w:ind w:left="1080" w:hanging="360"/>
      <w:jc w:val="both"/>
    </w:pPr>
  </w:style>
  <w:style w:type="paragraph" w:styleId="ListBullet">
    <w:name w:val="List Bullet"/>
    <w:basedOn w:val="Normal"/>
    <w:autoRedefine/>
    <w:pPr>
      <w:ind w:left="360" w:hanging="360"/>
      <w:jc w:val="both"/>
    </w:pPr>
  </w:style>
  <w:style w:type="paragraph" w:styleId="ListBullet2">
    <w:name w:val="List Bullet 2"/>
    <w:basedOn w:val="Normal"/>
    <w:autoRedefine/>
    <w:pPr>
      <w:ind w:left="720" w:hanging="360"/>
      <w:jc w:val="both"/>
    </w:pPr>
  </w:style>
  <w:style w:type="paragraph" w:styleId="ListBullet3">
    <w:name w:val="List Bullet 3"/>
    <w:basedOn w:val="Normal"/>
    <w:autoRedefine/>
    <w:pPr>
      <w:ind w:left="1080" w:hanging="360"/>
      <w:jc w:val="both"/>
    </w:pPr>
  </w:style>
  <w:style w:type="paragraph" w:styleId="ListBullet4">
    <w:name w:val="List Bullet 4"/>
    <w:basedOn w:val="Normal"/>
    <w:autoRedefine/>
    <w:pPr>
      <w:ind w:left="1440" w:hanging="360"/>
      <w:jc w:val="both"/>
    </w:pPr>
  </w:style>
  <w:style w:type="paragraph" w:styleId="ListNumber">
    <w:name w:val="List Number"/>
    <w:basedOn w:val="Normal"/>
    <w:pPr>
      <w:ind w:left="360" w:hanging="360"/>
      <w:jc w:val="both"/>
    </w:pPr>
  </w:style>
  <w:style w:type="paragraph" w:styleId="ListNumber2">
    <w:name w:val="List Number 2"/>
    <w:basedOn w:val="Normal"/>
    <w:pPr>
      <w:ind w:left="720" w:hanging="360"/>
      <w:jc w:val="both"/>
    </w:pPr>
  </w:style>
  <w:style w:type="paragraph" w:customStyle="1" w:styleId="LISTNUMBERDOUBLE">
    <w:name w:val="LIST NUMBER DOUBLE"/>
    <w:basedOn w:val="ListNumber2"/>
    <w:pPr>
      <w:spacing w:before="60" w:after="60"/>
    </w:pPr>
  </w:style>
  <w:style w:type="paragraph" w:customStyle="1" w:styleId="SUBHEADING">
    <w:name w:val="SUBHEADING"/>
    <w:basedOn w:val="Normal"/>
    <w:next w:val="BodyText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pPr>
      <w:jc w:val="center"/>
    </w:pPr>
    <w:rPr>
      <w:rFonts w:ascii="Arial" w:hAnsi="Arial"/>
      <w:b/>
      <w:smallCaps/>
    </w:rPr>
  </w:style>
  <w:style w:type="paragraph" w:customStyle="1" w:styleId="TOCHeading2">
    <w:name w:val="TOC Heading 2"/>
    <w:basedOn w:val="TOCHeading"/>
    <w:pPr>
      <w:spacing w:after="360"/>
    </w:pPr>
  </w:style>
  <w:style w:type="paragraph" w:customStyle="1" w:styleId="TOCINDENT">
    <w:name w:val="TOC_INDENT"/>
    <w:basedOn w:val="TOC"/>
    <w:next w:val="Normal"/>
    <w:pPr>
      <w:ind w:left="2160" w:hanging="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List3">
    <w:name w:val="List 3"/>
    <w:basedOn w:val="Normal"/>
    <w:pPr>
      <w:ind w:left="1080" w:hanging="360"/>
      <w:jc w:val="both"/>
    </w:pPr>
  </w:style>
  <w:style w:type="character" w:customStyle="1" w:styleId="Heading2Char">
    <w:name w:val="Heading 2 Char"/>
    <w:link w:val="Heading2"/>
    <w:rsid w:val="00CA7462"/>
    <w:rPr>
      <w:rFonts w:ascii="Arial" w:hAnsi="Arial"/>
      <w:b/>
      <w:kern w:val="28"/>
      <w:sz w:val="22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1C63E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14A9D"/>
    <w:rPr>
      <w:kern w:val="28"/>
      <w:sz w:val="22"/>
    </w:rPr>
  </w:style>
  <w:style w:type="character" w:styleId="CommentReference">
    <w:name w:val="annotation reference"/>
    <w:rsid w:val="001B4A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A5A"/>
    <w:rPr>
      <w:sz w:val="20"/>
    </w:rPr>
  </w:style>
  <w:style w:type="character" w:customStyle="1" w:styleId="CommentTextChar">
    <w:name w:val="Comment Text Char"/>
    <w:link w:val="CommentText"/>
    <w:rsid w:val="001B4A5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1B4A5A"/>
    <w:rPr>
      <w:b/>
      <w:bCs/>
    </w:rPr>
  </w:style>
  <w:style w:type="character" w:customStyle="1" w:styleId="CommentSubjectChar">
    <w:name w:val="Comment Subject Char"/>
    <w:link w:val="CommentSubject"/>
    <w:rsid w:val="001B4A5A"/>
    <w:rPr>
      <w:b/>
      <w:bCs/>
      <w:kern w:val="28"/>
    </w:rPr>
  </w:style>
  <w:style w:type="character" w:customStyle="1" w:styleId="FootnoteTextChar">
    <w:name w:val="Footnote Text Char"/>
    <w:link w:val="FootnoteText"/>
    <w:semiHidden/>
    <w:rsid w:val="00662091"/>
    <w:rPr>
      <w:kern w:val="28"/>
      <w:sz w:val="18"/>
    </w:rPr>
  </w:style>
  <w:style w:type="character" w:styleId="Hyperlink">
    <w:name w:val="Hyperlink"/>
    <w:uiPriority w:val="99"/>
    <w:unhideWhenUsed/>
    <w:rsid w:val="00A623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3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Strong">
    <w:name w:val="Strong"/>
    <w:uiPriority w:val="22"/>
    <w:qFormat/>
    <w:rsid w:val="00A6230F"/>
    <w:rPr>
      <w:b/>
      <w:bCs/>
    </w:rPr>
  </w:style>
  <w:style w:type="character" w:styleId="FollowedHyperlink">
    <w:name w:val="FollowedHyperlink"/>
    <w:basedOn w:val="DefaultParagraphFont"/>
    <w:rsid w:val="00A62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ftc.gov/articles/0279-extended-fraud-alerts-and-credit-freez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union.com/credit-hel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xperian.com/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ifax.com/personal/credit-report-service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D2C2-E56A-4C13-8D9A-F03DDD41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P:\Custom and PPD Service\Custom Bases\IASB Template\IASB Template.dotx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Louise</dc:creator>
  <cp:keywords/>
  <dc:description/>
  <cp:lastModifiedBy>Microsoft Office User</cp:lastModifiedBy>
  <cp:revision>3</cp:revision>
  <cp:lastPrinted>2018-04-19T17:55:00Z</cp:lastPrinted>
  <dcterms:created xsi:type="dcterms:W3CDTF">2020-07-06T14:34:00Z</dcterms:created>
  <dcterms:modified xsi:type="dcterms:W3CDTF">2020-09-02T14:45:00Z</dcterms:modified>
</cp:coreProperties>
</file>