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06" w:rsidRDefault="00C26A06" w:rsidP="00C26A06">
      <w:pPr>
        <w:pBdr>
          <w:bottom w:val="single" w:sz="4" w:space="1" w:color="auto"/>
        </w:pBdr>
        <w:tabs>
          <w:tab w:val="right" w:pos="9000"/>
        </w:tabs>
      </w:pPr>
      <w:r>
        <w:t>January 2022</w:t>
      </w:r>
      <w:r>
        <w:tab/>
        <w:t>2:220-E6</w:t>
      </w:r>
    </w:p>
    <w:p w:rsidR="00C26A06" w:rsidRDefault="00C26A06" w:rsidP="00C26A06">
      <w:pPr>
        <w:tabs>
          <w:tab w:val="right" w:pos="9000"/>
        </w:tabs>
      </w:pPr>
    </w:p>
    <w:p w:rsidR="00C26A06" w:rsidRDefault="00C26A06" w:rsidP="00C26A06">
      <w:pPr>
        <w:pStyle w:val="Heading1"/>
      </w:pPr>
      <w:r>
        <w:t>School Board</w:t>
      </w:r>
    </w:p>
    <w:p w:rsidR="00C26A06" w:rsidRPr="00F307F0" w:rsidRDefault="00C26A06" w:rsidP="00C26A06">
      <w:pPr>
        <w:pStyle w:val="Heading2"/>
        <w:spacing w:after="60"/>
      </w:pPr>
      <w:r>
        <w:t xml:space="preserve">Exhibit - Log of </w:t>
      </w:r>
      <w:r w:rsidRPr="00F307F0">
        <w:t>Closed Meeting Minutes</w:t>
      </w:r>
    </w:p>
    <w:p w:rsidR="00C26A06" w:rsidRPr="007454AC" w:rsidRDefault="00C26A06" w:rsidP="00C26A06">
      <w:pPr>
        <w:pStyle w:val="BodyText"/>
      </w:pPr>
      <w:r w:rsidRPr="007454AC">
        <w:t>The purpose of this</w:t>
      </w:r>
      <w:r>
        <w:t xml:space="preserve"> log</w:t>
      </w:r>
      <w:r w:rsidRPr="007454AC">
        <w:t xml:space="preserve"> is to facilitate the Board’s semi-annual review of closed meeting minutes</w:t>
      </w:r>
      <w:r>
        <w:t xml:space="preserve">. </w:t>
      </w:r>
      <w:r w:rsidRPr="007454AC">
        <w:t xml:space="preserve"> </w:t>
      </w:r>
      <w:r w:rsidRPr="00E653A0">
        <w:rPr>
          <w:i/>
        </w:rPr>
        <w:t>Semi-annual</w:t>
      </w:r>
      <w:r w:rsidRPr="00E653A0">
        <w:t xml:space="preserve"> means every six months, or as soon after as is practicable</w:t>
      </w:r>
      <w:r>
        <w:t>,</w:t>
      </w:r>
      <w:r w:rsidRPr="00E653A0">
        <w:t xml:space="preserve"> taking into account the nature and meeting schedule of the board. </w:t>
      </w:r>
      <w:proofErr w:type="gramStart"/>
      <w:r w:rsidRPr="00E653A0">
        <w:t>5 ILCS 120/2.06(d), amended by P.A. 102</w:t>
      </w:r>
      <w:r w:rsidRPr="00914C2E">
        <w:t>-653.</w:t>
      </w:r>
      <w:proofErr w:type="gramEnd"/>
      <w:r>
        <w:t xml:space="preserve"> See 2:220-E5, </w:t>
      </w:r>
      <w:r w:rsidRPr="00807CFF">
        <w:rPr>
          <w:i/>
        </w:rPr>
        <w:t xml:space="preserve">Semi-Annual Review of Closed </w:t>
      </w:r>
      <w:r>
        <w:rPr>
          <w:i/>
        </w:rPr>
        <w:t>Meeting</w:t>
      </w:r>
      <w:r w:rsidRPr="00807CFF">
        <w:rPr>
          <w:i/>
        </w:rPr>
        <w:t xml:space="preserve"> Minutes</w:t>
      </w:r>
      <w:r>
        <w:t>.</w:t>
      </w:r>
    </w:p>
    <w:p w:rsidR="00C26A06" w:rsidRDefault="00C26A06" w:rsidP="00C26A06">
      <w:pPr>
        <w:pStyle w:val="BodyText"/>
      </w:pPr>
      <w:r w:rsidRPr="007454AC">
        <w:t xml:space="preserve">The Board Secretary or Recording Secretary shall maintain a list of closed </w:t>
      </w:r>
      <w:r>
        <w:t>meeting</w:t>
      </w:r>
      <w:r w:rsidRPr="007454AC">
        <w:t xml:space="preserve"> minutes, </w:t>
      </w:r>
      <w:r>
        <w:t xml:space="preserve">arranged </w:t>
      </w:r>
      <w:r w:rsidRPr="007454AC">
        <w:t xml:space="preserve">according to the reason for the closed </w:t>
      </w:r>
      <w:r>
        <w:t>meeting</w:t>
      </w:r>
      <w:r w:rsidRPr="007454AC">
        <w:t xml:space="preserve">, </w:t>
      </w:r>
      <w:r>
        <w:t xml:space="preserve">that </w:t>
      </w:r>
      <w:r w:rsidRPr="007454AC">
        <w:t>have not been released for public inspection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3"/>
        <w:gridCol w:w="1797"/>
        <w:gridCol w:w="1681"/>
        <w:gridCol w:w="1841"/>
      </w:tblGrid>
      <w:tr w:rsidR="00C26A06" w:rsidTr="00422F31">
        <w:trPr>
          <w:trHeight w:val="347"/>
          <w:tblHeader/>
        </w:trPr>
        <w:tc>
          <w:tcPr>
            <w:tcW w:w="3773" w:type="dxa"/>
          </w:tcPr>
          <w:p w:rsidR="00C26A06" w:rsidRDefault="00C26A06" w:rsidP="00422F31">
            <w:pPr>
              <w:pStyle w:val="BodyText"/>
            </w:pPr>
            <w:r w:rsidRPr="00AD5A7D">
              <w:rPr>
                <w:b/>
              </w:rPr>
              <w:t>Closed Session Held to Discuss:</w:t>
            </w:r>
          </w:p>
        </w:tc>
        <w:tc>
          <w:tcPr>
            <w:tcW w:w="5319" w:type="dxa"/>
            <w:gridSpan w:val="3"/>
          </w:tcPr>
          <w:p w:rsidR="00C26A06" w:rsidRDefault="00C26A06" w:rsidP="00422F31">
            <w:pPr>
              <w:pStyle w:val="BodyText"/>
              <w:jc w:val="center"/>
            </w:pPr>
            <w:r w:rsidRPr="00AD5A7D">
              <w:rPr>
                <w:b/>
              </w:rPr>
              <w:t>Dates of Closed Sessions</w:t>
            </w:r>
          </w:p>
        </w:tc>
      </w:tr>
      <w:tr w:rsidR="00C26A06" w:rsidTr="00422F31">
        <w:trPr>
          <w:trHeight w:val="115"/>
        </w:trPr>
        <w:tc>
          <w:tcPr>
            <w:tcW w:w="3773" w:type="dxa"/>
            <w:vMerge w:val="restart"/>
          </w:tcPr>
          <w:p w:rsidR="00C26A06" w:rsidRDefault="00C26A06" w:rsidP="00422F31">
            <w:pPr>
              <w:pStyle w:val="BodyText"/>
              <w:jc w:val="left"/>
            </w:pPr>
            <w:r w:rsidRPr="00AD5A7D">
              <w:rPr>
                <w:sz w:val="19"/>
              </w:rPr>
              <w:t>Specific employee(s)</w:t>
            </w:r>
            <w:r>
              <w:rPr>
                <w:sz w:val="19"/>
              </w:rPr>
              <w:t>, specific independent contractors, specific volunteers,</w:t>
            </w:r>
            <w:r w:rsidRPr="00AD5A7D">
              <w:rPr>
                <w:sz w:val="19"/>
              </w:rPr>
              <w:t xml:space="preserve"> or District legal counsel</w:t>
            </w:r>
            <w:r>
              <w:rPr>
                <w:sz w:val="19"/>
              </w:rPr>
              <w:t>; h</w:t>
            </w:r>
            <w:r w:rsidRPr="00596A3D">
              <w:rPr>
                <w:sz w:val="19"/>
              </w:rPr>
              <w:t>owever, a meeting to consider an increase in compensation to a specific employee of a public body that is subject to the Local Government Wage Increase Transparency Act may not be closed and shall be open to the public and posted and held in accordance with [the Open Meetings Act]</w:t>
            </w:r>
            <w:r w:rsidRPr="00AD5A7D">
              <w:rPr>
                <w:sz w:val="19"/>
              </w:rPr>
              <w:t>. 5 ILCS 120/2(c</w:t>
            </w:r>
            <w:proofErr w:type="gramStart"/>
            <w:r w:rsidRPr="00AD5A7D">
              <w:rPr>
                <w:sz w:val="19"/>
              </w:rPr>
              <w:t>)(</w:t>
            </w:r>
            <w:proofErr w:type="gramEnd"/>
            <w:r w:rsidRPr="00AD5A7D">
              <w:rPr>
                <w:sz w:val="19"/>
              </w:rPr>
              <w:t>1)</w:t>
            </w:r>
            <w:r>
              <w:rPr>
                <w:sz w:val="19"/>
              </w:rPr>
              <w:t xml:space="preserve">, amended by P.A. </w:t>
            </w:r>
            <w:r w:rsidRPr="00E071C8">
              <w:rPr>
                <w:sz w:val="19"/>
              </w:rPr>
              <w:t>101-459.</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115"/>
        </w:trPr>
        <w:tc>
          <w:tcPr>
            <w:tcW w:w="3773" w:type="dxa"/>
            <w:vMerge/>
          </w:tcPr>
          <w:p w:rsidR="00C26A06" w:rsidRDefault="00C26A06" w:rsidP="00422F31">
            <w:pPr>
              <w:pStyle w:val="BodyText"/>
              <w:jc w:val="left"/>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115"/>
        </w:trPr>
        <w:tc>
          <w:tcPr>
            <w:tcW w:w="3773" w:type="dxa"/>
            <w:vMerge/>
          </w:tcPr>
          <w:p w:rsidR="00C26A06" w:rsidRDefault="00C26A06" w:rsidP="00422F31">
            <w:pPr>
              <w:pStyle w:val="BodyText"/>
              <w:jc w:val="left"/>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305"/>
        </w:trPr>
        <w:tc>
          <w:tcPr>
            <w:tcW w:w="3773" w:type="dxa"/>
            <w:vMerge w:val="restart"/>
          </w:tcPr>
          <w:p w:rsidR="00C26A06" w:rsidRPr="00AD5A7D" w:rsidRDefault="00C26A06" w:rsidP="00422F31">
            <w:pPr>
              <w:pStyle w:val="BodyText"/>
              <w:spacing w:after="0"/>
              <w:jc w:val="left"/>
              <w:rPr>
                <w:sz w:val="19"/>
              </w:rPr>
            </w:pPr>
            <w:r w:rsidRPr="00AD5A7D">
              <w:rPr>
                <w:sz w:val="19"/>
              </w:rPr>
              <w:t>Collective negotiating matters or deliberations concerning salary schedules for one or more classes of employees.</w:t>
            </w:r>
          </w:p>
          <w:p w:rsidR="00C26A06" w:rsidRPr="00AD5A7D" w:rsidRDefault="00C26A06" w:rsidP="00422F31">
            <w:pPr>
              <w:pStyle w:val="BodyText"/>
              <w:spacing w:before="0"/>
              <w:jc w:val="left"/>
              <w:rPr>
                <w:sz w:val="19"/>
              </w:rPr>
            </w:pPr>
            <w:r w:rsidRPr="00AD5A7D">
              <w:rPr>
                <w:sz w:val="19"/>
              </w:rPr>
              <w:t>5 ILCS 120/2(c</w:t>
            </w:r>
            <w:proofErr w:type="gramStart"/>
            <w:r w:rsidRPr="00AD5A7D">
              <w:rPr>
                <w:sz w:val="19"/>
              </w:rPr>
              <w:t>)(</w:t>
            </w:r>
            <w:proofErr w:type="gramEnd"/>
            <w:r w:rsidRPr="00AD5A7D">
              <w:rPr>
                <w:sz w:val="19"/>
              </w:rPr>
              <w:t>2).</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val="restart"/>
          </w:tcPr>
          <w:p w:rsidR="00C26A06" w:rsidRPr="00AD5A7D" w:rsidRDefault="00C26A06" w:rsidP="00422F31">
            <w:pPr>
              <w:pStyle w:val="BodyText"/>
              <w:jc w:val="left"/>
              <w:rPr>
                <w:sz w:val="19"/>
              </w:rPr>
            </w:pPr>
            <w:r w:rsidRPr="00AD5A7D">
              <w:rPr>
                <w:sz w:val="19"/>
              </w:rPr>
              <w:t>Selection of a person to fill a vacancy on the Board. 5 ILCS 120/2(c</w:t>
            </w:r>
            <w:proofErr w:type="gramStart"/>
            <w:r w:rsidRPr="00AD5A7D">
              <w:rPr>
                <w:sz w:val="19"/>
              </w:rPr>
              <w:t>)(</w:t>
            </w:r>
            <w:proofErr w:type="gramEnd"/>
            <w:r w:rsidRPr="00AD5A7D">
              <w:rPr>
                <w:sz w:val="19"/>
              </w:rPr>
              <w:t>3).</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val="restart"/>
          </w:tcPr>
          <w:p w:rsidR="00C26A06" w:rsidRPr="00AD5A7D" w:rsidRDefault="00C26A06" w:rsidP="00422F31">
            <w:pPr>
              <w:pStyle w:val="BodyText"/>
              <w:jc w:val="left"/>
              <w:rPr>
                <w:sz w:val="19"/>
              </w:rPr>
            </w:pPr>
            <w:r w:rsidRPr="00AD5A7D">
              <w:rPr>
                <w:sz w:val="19"/>
              </w:rPr>
              <w:t>Evidence or testimony presented in a hearing where authorized by law. 5 ILCS 120/2(c</w:t>
            </w:r>
            <w:proofErr w:type="gramStart"/>
            <w:r w:rsidRPr="00AD5A7D">
              <w:rPr>
                <w:sz w:val="19"/>
              </w:rPr>
              <w:t>)(</w:t>
            </w:r>
            <w:proofErr w:type="gramEnd"/>
            <w:r w:rsidRPr="00AD5A7D">
              <w:rPr>
                <w:sz w:val="19"/>
              </w:rPr>
              <w:t>4).</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val="restart"/>
          </w:tcPr>
          <w:p w:rsidR="00C26A06" w:rsidRPr="00AD5A7D" w:rsidRDefault="00C26A06" w:rsidP="00422F31">
            <w:pPr>
              <w:pStyle w:val="BodyText"/>
              <w:jc w:val="left"/>
              <w:rPr>
                <w:sz w:val="19"/>
              </w:rPr>
            </w:pPr>
            <w:r w:rsidRPr="00AD5A7D">
              <w:rPr>
                <w:sz w:val="19"/>
              </w:rPr>
              <w:t>Purchase or lease of real property. 5 ILCS 120/2(c</w:t>
            </w:r>
            <w:proofErr w:type="gramStart"/>
            <w:r w:rsidRPr="00AD5A7D">
              <w:rPr>
                <w:sz w:val="19"/>
              </w:rPr>
              <w:t>)(</w:t>
            </w:r>
            <w:proofErr w:type="gramEnd"/>
            <w:r w:rsidRPr="00AD5A7D">
              <w:rPr>
                <w:sz w:val="19"/>
              </w:rPr>
              <w:t>5).</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val="restart"/>
          </w:tcPr>
          <w:p w:rsidR="00C26A06" w:rsidRPr="00AD5A7D" w:rsidRDefault="00C26A06" w:rsidP="00422F31">
            <w:pPr>
              <w:pStyle w:val="BodyText"/>
              <w:jc w:val="left"/>
              <w:rPr>
                <w:sz w:val="19"/>
              </w:rPr>
            </w:pPr>
            <w:r w:rsidRPr="00AD5A7D">
              <w:rPr>
                <w:sz w:val="19"/>
              </w:rPr>
              <w:t>Setting of a price for sale or lease of District property. 5</w:t>
            </w:r>
            <w:r>
              <w:rPr>
                <w:sz w:val="19"/>
              </w:rPr>
              <w:t xml:space="preserve"> </w:t>
            </w:r>
            <w:r w:rsidRPr="00AD5A7D">
              <w:rPr>
                <w:sz w:val="19"/>
              </w:rPr>
              <w:t>ILCS 120/2(c</w:t>
            </w:r>
            <w:proofErr w:type="gramStart"/>
            <w:r w:rsidRPr="00AD5A7D">
              <w:rPr>
                <w:sz w:val="19"/>
              </w:rPr>
              <w:t>)(</w:t>
            </w:r>
            <w:proofErr w:type="gramEnd"/>
            <w:r w:rsidRPr="00AD5A7D">
              <w:rPr>
                <w:sz w:val="19"/>
              </w:rPr>
              <w:t>6).</w:t>
            </w: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RPr="00AD5A7D" w:rsidTr="00422F31">
        <w:trPr>
          <w:trHeight w:val="240"/>
        </w:trPr>
        <w:tc>
          <w:tcPr>
            <w:tcW w:w="3773" w:type="dxa"/>
            <w:vMerge w:val="restart"/>
          </w:tcPr>
          <w:p w:rsidR="00C26A06" w:rsidRPr="00AD5A7D" w:rsidRDefault="00C26A06" w:rsidP="00422F31">
            <w:pPr>
              <w:pStyle w:val="BodyText"/>
              <w:jc w:val="left"/>
              <w:rPr>
                <w:sz w:val="19"/>
              </w:rPr>
            </w:pPr>
            <w:r w:rsidRPr="00AD5A7D">
              <w:rPr>
                <w:sz w:val="19"/>
              </w:rPr>
              <w:t>Sale or purchase of securities, investments, or investment contracts. 5 ILCS 120/2(c</w:t>
            </w:r>
            <w:proofErr w:type="gramStart"/>
            <w:r w:rsidRPr="00AD5A7D">
              <w:rPr>
                <w:sz w:val="19"/>
              </w:rPr>
              <w:t>)(</w:t>
            </w:r>
            <w:proofErr w:type="gramEnd"/>
            <w:r w:rsidRPr="00AD5A7D">
              <w:rPr>
                <w:sz w:val="19"/>
              </w:rPr>
              <w:t>7).</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240"/>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RPr="00AD5A7D" w:rsidTr="00422F31">
        <w:trPr>
          <w:trHeight w:val="375"/>
        </w:trPr>
        <w:tc>
          <w:tcPr>
            <w:tcW w:w="3773" w:type="dxa"/>
            <w:vMerge w:val="restart"/>
          </w:tcPr>
          <w:p w:rsidR="00C26A06" w:rsidRPr="00AD5A7D" w:rsidRDefault="00C26A06" w:rsidP="00422F31">
            <w:pPr>
              <w:pStyle w:val="BodyText"/>
              <w:jc w:val="left"/>
              <w:rPr>
                <w:sz w:val="19"/>
              </w:rPr>
            </w:pPr>
            <w:r w:rsidRPr="00AD5A7D">
              <w:rPr>
                <w:sz w:val="19"/>
              </w:rPr>
              <w:lastRenderedPageBreak/>
              <w:t>Security procedures and the use of personnel and equipment to respond to an actual, a threatened, or a reasonably potential danger. 5 ILCS 120/2(c</w:t>
            </w:r>
            <w:proofErr w:type="gramStart"/>
            <w:r w:rsidRPr="00AD5A7D">
              <w:rPr>
                <w:sz w:val="19"/>
              </w:rPr>
              <w:t>)(</w:t>
            </w:r>
            <w:proofErr w:type="gramEnd"/>
            <w:r w:rsidRPr="00AD5A7D">
              <w:rPr>
                <w:sz w:val="19"/>
              </w:rPr>
              <w:t>8).</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Tr="00422F31">
        <w:trPr>
          <w:trHeight w:val="375"/>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375"/>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RPr="00AD5A7D" w:rsidTr="00422F31">
        <w:trPr>
          <w:trHeight w:val="171"/>
        </w:trPr>
        <w:tc>
          <w:tcPr>
            <w:tcW w:w="3773" w:type="dxa"/>
            <w:vMerge w:val="restart"/>
          </w:tcPr>
          <w:p w:rsidR="00C26A06" w:rsidRPr="00AD5A7D" w:rsidRDefault="00C26A06" w:rsidP="00422F31">
            <w:pPr>
              <w:pStyle w:val="BodyText"/>
              <w:jc w:val="left"/>
              <w:rPr>
                <w:sz w:val="19"/>
              </w:rPr>
            </w:pPr>
            <w:r w:rsidRPr="00AD5A7D">
              <w:rPr>
                <w:sz w:val="19"/>
              </w:rPr>
              <w:t>Student disciplinary cases. 5 ILCS 120/2(c</w:t>
            </w:r>
            <w:proofErr w:type="gramStart"/>
            <w:r w:rsidRPr="00AD5A7D">
              <w:rPr>
                <w:sz w:val="19"/>
              </w:rPr>
              <w:t>)(</w:t>
            </w:r>
            <w:proofErr w:type="gramEnd"/>
            <w:r w:rsidRPr="00AD5A7D">
              <w:rPr>
                <w:sz w:val="19"/>
              </w:rPr>
              <w:t xml:space="preserve">9). </w:t>
            </w:r>
            <w:r w:rsidRPr="00AD5A7D">
              <w:rPr>
                <w:i/>
                <w:sz w:val="19"/>
              </w:rPr>
              <w:t>Minutes of meetings held for this reason shall never be released to protect the individual student’s privacy.</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Tr="00422F31">
        <w:trPr>
          <w:trHeight w:val="171"/>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Tr="00422F31">
        <w:trPr>
          <w:trHeight w:val="171"/>
        </w:trPr>
        <w:tc>
          <w:tcPr>
            <w:tcW w:w="3773" w:type="dxa"/>
            <w:vMerge/>
          </w:tcPr>
          <w:p w:rsidR="00C26A06" w:rsidRPr="00AD5A7D" w:rsidRDefault="00C26A06" w:rsidP="00422F31">
            <w:pPr>
              <w:pStyle w:val="BodyText"/>
              <w:jc w:val="left"/>
              <w:rPr>
                <w:sz w:val="19"/>
              </w:rPr>
            </w:pPr>
          </w:p>
        </w:tc>
        <w:tc>
          <w:tcPr>
            <w:tcW w:w="1797" w:type="dxa"/>
          </w:tcPr>
          <w:p w:rsidR="00C26A06" w:rsidRDefault="00C26A06" w:rsidP="00422F31">
            <w:pPr>
              <w:pStyle w:val="BodyText"/>
              <w:jc w:val="left"/>
            </w:pPr>
          </w:p>
        </w:tc>
        <w:tc>
          <w:tcPr>
            <w:tcW w:w="1681" w:type="dxa"/>
          </w:tcPr>
          <w:p w:rsidR="00C26A06" w:rsidRDefault="00C26A06" w:rsidP="00422F31">
            <w:pPr>
              <w:pStyle w:val="BodyText"/>
              <w:jc w:val="left"/>
            </w:pPr>
          </w:p>
        </w:tc>
        <w:tc>
          <w:tcPr>
            <w:tcW w:w="1840" w:type="dxa"/>
          </w:tcPr>
          <w:p w:rsidR="00C26A06" w:rsidRDefault="00C26A06" w:rsidP="00422F31">
            <w:pPr>
              <w:pStyle w:val="BodyText"/>
              <w:jc w:val="left"/>
            </w:pPr>
          </w:p>
        </w:tc>
      </w:tr>
      <w:tr w:rsidR="00C26A06" w:rsidRPr="00AD5A7D" w:rsidTr="00422F31">
        <w:trPr>
          <w:trHeight w:val="171"/>
        </w:trPr>
        <w:tc>
          <w:tcPr>
            <w:tcW w:w="3773" w:type="dxa"/>
            <w:vMerge w:val="restart"/>
          </w:tcPr>
          <w:p w:rsidR="00C26A06" w:rsidRPr="00AD5A7D" w:rsidRDefault="00C26A06" w:rsidP="00422F31">
            <w:pPr>
              <w:pStyle w:val="BodyText"/>
              <w:jc w:val="left"/>
              <w:rPr>
                <w:sz w:val="19"/>
              </w:rPr>
            </w:pPr>
            <w:r w:rsidRPr="00AD5A7D">
              <w:rPr>
                <w:sz w:val="19"/>
              </w:rPr>
              <w:t>Any matter involving an individual student. 5 ILCS 120/2(c</w:t>
            </w:r>
            <w:proofErr w:type="gramStart"/>
            <w:r w:rsidRPr="00AD5A7D">
              <w:rPr>
                <w:sz w:val="19"/>
              </w:rPr>
              <w:t>)(</w:t>
            </w:r>
            <w:proofErr w:type="gramEnd"/>
            <w:r w:rsidRPr="00AD5A7D">
              <w:rPr>
                <w:sz w:val="19"/>
              </w:rPr>
              <w:t xml:space="preserve">10). </w:t>
            </w:r>
            <w:r w:rsidRPr="00AD5A7D">
              <w:rPr>
                <w:i/>
                <w:sz w:val="19"/>
              </w:rPr>
              <w:t>Minutes of meetings held for this reason shall never be released to protect the individual student’s privacy.</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171"/>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171"/>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80"/>
        </w:trPr>
        <w:tc>
          <w:tcPr>
            <w:tcW w:w="3773" w:type="dxa"/>
            <w:vMerge w:val="restart"/>
            <w:tcMar>
              <w:left w:w="115" w:type="dxa"/>
              <w:right w:w="43" w:type="dxa"/>
            </w:tcMar>
          </w:tcPr>
          <w:p w:rsidR="00C26A06" w:rsidRPr="00AD5A7D" w:rsidRDefault="00C26A06" w:rsidP="00422F31">
            <w:pPr>
              <w:pStyle w:val="BodyText"/>
              <w:jc w:val="left"/>
              <w:rPr>
                <w:sz w:val="19"/>
              </w:rPr>
            </w:pPr>
            <w:r w:rsidRPr="00AD5A7D">
              <w:rPr>
                <w:sz w:val="19"/>
              </w:rPr>
              <w:t>Litigation, when an action against, affecting, or on behalf of the District has been filed and is pending before a court or administrative tribunal, or when the Board finds that an action is probable or imminent. 5 ILCS 120/2(c</w:t>
            </w:r>
            <w:proofErr w:type="gramStart"/>
            <w:r w:rsidRPr="00AD5A7D">
              <w:rPr>
                <w:sz w:val="19"/>
              </w:rPr>
              <w:t>)(</w:t>
            </w:r>
            <w:proofErr w:type="gramEnd"/>
            <w:r w:rsidRPr="00AD5A7D">
              <w:rPr>
                <w:sz w:val="19"/>
              </w:rPr>
              <w:t>11).</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79"/>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79"/>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79"/>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val="restart"/>
          </w:tcPr>
          <w:p w:rsidR="00C26A06" w:rsidRPr="00AD5A7D" w:rsidRDefault="00C26A06" w:rsidP="00422F31">
            <w:pPr>
              <w:pStyle w:val="BodyText"/>
              <w:jc w:val="left"/>
              <w:rPr>
                <w:sz w:val="19"/>
              </w:rPr>
            </w:pPr>
            <w:r w:rsidRPr="00AD5A7D">
              <w:rPr>
                <w:sz w:val="19"/>
              </w:rPr>
              <w:t>Establishment of reserves or settlement of claims as provided in the Local Government and Governmental Employees Tort Immunity Act or discussion of claims, loss or risk management information, records, data, advice or communications from or with respect to any insurer of the District or any intergovernmental risk management association or self insurance pool. 5 ILCS 120/2(c</w:t>
            </w:r>
            <w:proofErr w:type="gramStart"/>
            <w:r w:rsidRPr="00AD5A7D">
              <w:rPr>
                <w:sz w:val="19"/>
              </w:rPr>
              <w:t>)(</w:t>
            </w:r>
            <w:proofErr w:type="gramEnd"/>
            <w:r w:rsidRPr="00AD5A7D">
              <w:rPr>
                <w:sz w:val="19"/>
              </w:rPr>
              <w:t>12).</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75"/>
        </w:trPr>
        <w:tc>
          <w:tcPr>
            <w:tcW w:w="3773" w:type="dxa"/>
            <w:vMerge w:val="restart"/>
          </w:tcPr>
          <w:p w:rsidR="00C26A06" w:rsidRPr="00AD5A7D" w:rsidRDefault="00C26A06" w:rsidP="00422F31">
            <w:pPr>
              <w:pStyle w:val="BodyText"/>
              <w:jc w:val="left"/>
              <w:rPr>
                <w:sz w:val="19"/>
              </w:rPr>
            </w:pPr>
            <w:r w:rsidRPr="00AD5A7D">
              <w:rPr>
                <w:sz w:val="19"/>
              </w:rPr>
              <w:t>Self-evaluation, practices and procedures or professional ethics, when meeting with an IASB representative. 5 ILCS 120/2(c</w:t>
            </w:r>
            <w:proofErr w:type="gramStart"/>
            <w:r w:rsidRPr="00AD5A7D">
              <w:rPr>
                <w:sz w:val="19"/>
              </w:rPr>
              <w:t>)(</w:t>
            </w:r>
            <w:proofErr w:type="gramEnd"/>
            <w:r w:rsidRPr="00AD5A7D">
              <w:rPr>
                <w:sz w:val="19"/>
              </w:rPr>
              <w:t>16).</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7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7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val="restart"/>
          </w:tcPr>
          <w:p w:rsidR="00C26A06" w:rsidRPr="00AD5A7D" w:rsidRDefault="00C26A06" w:rsidP="00422F31">
            <w:pPr>
              <w:pStyle w:val="BodyText"/>
              <w:jc w:val="left"/>
              <w:rPr>
                <w:sz w:val="19"/>
              </w:rPr>
            </w:pPr>
            <w:r w:rsidRPr="00AD5A7D">
              <w:rPr>
                <w:sz w:val="19"/>
              </w:rPr>
              <w:t>Minutes of meetings lawfully closed, whether for purposes of approval or semi-annual review. 5 ILCS 120/2(c</w:t>
            </w:r>
            <w:proofErr w:type="gramStart"/>
            <w:r w:rsidRPr="00AD5A7D">
              <w:rPr>
                <w:sz w:val="19"/>
              </w:rPr>
              <w:t>)(</w:t>
            </w:r>
            <w:proofErr w:type="gramEnd"/>
            <w:r w:rsidRPr="00AD5A7D">
              <w:rPr>
                <w:sz w:val="19"/>
              </w:rPr>
              <w:t>21).</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val="restart"/>
          </w:tcPr>
          <w:p w:rsidR="00C26A06" w:rsidRPr="00AD5A7D" w:rsidRDefault="00C26A06" w:rsidP="00422F31">
            <w:pPr>
              <w:pStyle w:val="BodyText"/>
              <w:jc w:val="left"/>
              <w:rPr>
                <w:sz w:val="19"/>
              </w:rPr>
            </w:pPr>
            <w:r w:rsidRPr="00851C61">
              <w:rPr>
                <w:sz w:val="19"/>
              </w:rPr>
              <w:t>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 5 ILCS 120/2(c</w:t>
            </w:r>
            <w:proofErr w:type="gramStart"/>
            <w:r w:rsidRPr="00851C61">
              <w:rPr>
                <w:sz w:val="19"/>
              </w:rPr>
              <w:t>)(</w:t>
            </w:r>
            <w:proofErr w:type="gramEnd"/>
            <w:r w:rsidRPr="00851C61">
              <w:rPr>
                <w:sz w:val="19"/>
              </w:rPr>
              <w:t>2</w:t>
            </w:r>
            <w:r>
              <w:rPr>
                <w:sz w:val="19"/>
              </w:rPr>
              <w:t>9</w:t>
            </w:r>
            <w:r w:rsidRPr="00851C61">
              <w:rPr>
                <w:sz w:val="19"/>
              </w:rPr>
              <w:t>).</w:t>
            </w: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r w:rsidR="00C26A06" w:rsidRPr="00AD5A7D" w:rsidTr="00422F31">
        <w:trPr>
          <w:trHeight w:val="305"/>
        </w:trPr>
        <w:tc>
          <w:tcPr>
            <w:tcW w:w="3773" w:type="dxa"/>
            <w:vMerge/>
          </w:tcPr>
          <w:p w:rsidR="00C26A06" w:rsidRPr="00AD5A7D" w:rsidRDefault="00C26A06" w:rsidP="00422F31">
            <w:pPr>
              <w:pStyle w:val="BodyText"/>
              <w:jc w:val="left"/>
              <w:rPr>
                <w:sz w:val="19"/>
              </w:rPr>
            </w:pPr>
          </w:p>
        </w:tc>
        <w:tc>
          <w:tcPr>
            <w:tcW w:w="1797" w:type="dxa"/>
          </w:tcPr>
          <w:p w:rsidR="00C26A06" w:rsidRPr="00AD5A7D" w:rsidRDefault="00C26A06" w:rsidP="00422F31">
            <w:pPr>
              <w:pStyle w:val="BodyText"/>
              <w:jc w:val="left"/>
              <w:rPr>
                <w:sz w:val="19"/>
              </w:rPr>
            </w:pPr>
          </w:p>
        </w:tc>
        <w:tc>
          <w:tcPr>
            <w:tcW w:w="1681" w:type="dxa"/>
          </w:tcPr>
          <w:p w:rsidR="00C26A06" w:rsidRPr="00AD5A7D" w:rsidRDefault="00C26A06" w:rsidP="00422F31">
            <w:pPr>
              <w:pStyle w:val="BodyText"/>
              <w:jc w:val="left"/>
              <w:rPr>
                <w:sz w:val="19"/>
              </w:rPr>
            </w:pPr>
          </w:p>
        </w:tc>
        <w:tc>
          <w:tcPr>
            <w:tcW w:w="1840" w:type="dxa"/>
          </w:tcPr>
          <w:p w:rsidR="00C26A06" w:rsidRPr="00AD5A7D" w:rsidRDefault="00C26A06" w:rsidP="00422F31">
            <w:pPr>
              <w:pStyle w:val="BodyText"/>
              <w:jc w:val="left"/>
              <w:rPr>
                <w:sz w:val="19"/>
              </w:rPr>
            </w:pPr>
          </w:p>
        </w:tc>
      </w:tr>
    </w:tbl>
    <w:p w:rsidR="005326CC" w:rsidRDefault="005326CC"/>
    <w:sectPr w:rsidR="005326CC" w:rsidSect="005326C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2F" w:rsidRDefault="007A052F" w:rsidP="00CA0754">
      <w:r>
        <w:separator/>
      </w:r>
    </w:p>
  </w:endnote>
  <w:endnote w:type="continuationSeparator" w:id="0">
    <w:p w:rsidR="007A052F" w:rsidRDefault="007A052F" w:rsidP="00CA0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06" w:rsidRDefault="00C26A06" w:rsidP="00C26A06">
    <w:pPr>
      <w:pStyle w:val="Footer"/>
      <w:tabs>
        <w:tab w:val="right" w:pos="9000"/>
      </w:tabs>
    </w:pPr>
    <w:r>
      <w:t>2:220-E6</w:t>
    </w:r>
    <w:r>
      <w:tab/>
    </w:r>
    <w:r>
      <w:tab/>
      <w:t xml:space="preserve">Page </w:t>
    </w:r>
    <w:fldSimple w:instr=" PAGE   \* MERGEFORMAT ">
      <w:r>
        <w:rPr>
          <w:noProof/>
        </w:rPr>
        <w:t>2</w:t>
      </w:r>
    </w:fldSimple>
    <w:r>
      <w:t xml:space="preserve"> of </w:t>
    </w:r>
    <w:fldSimple w:instr=" SECTIONPAGES   \* MERGEFORMAT ">
      <w:r>
        <w:rPr>
          <w:noProof/>
        </w:rPr>
        <w:t>2</w:t>
      </w:r>
    </w:fldSimple>
  </w:p>
  <w:p w:rsidR="00CA0754" w:rsidRDefault="00CA075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2F" w:rsidRDefault="007A052F" w:rsidP="00CA0754">
      <w:r>
        <w:separator/>
      </w:r>
    </w:p>
  </w:footnote>
  <w:footnote w:type="continuationSeparator" w:id="0">
    <w:p w:rsidR="007A052F" w:rsidRDefault="007A052F" w:rsidP="00CA0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A0754"/>
    <w:rsid w:val="003A7620"/>
    <w:rsid w:val="005326CC"/>
    <w:rsid w:val="007A052F"/>
    <w:rsid w:val="00C26A06"/>
    <w:rsid w:val="00CA0754"/>
    <w:rsid w:val="00E31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26A06"/>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C26A0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A0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26A06"/>
    <w:rPr>
      <w:rFonts w:ascii="Arial" w:eastAsia="Times New Roman" w:hAnsi="Arial" w:cs="Times New Roman"/>
      <w:b/>
      <w:kern w:val="28"/>
      <w:szCs w:val="20"/>
      <w:u w:val="single"/>
    </w:rPr>
  </w:style>
  <w:style w:type="paragraph" w:styleId="BodyText">
    <w:name w:val="Body Text"/>
    <w:basedOn w:val="Normal"/>
    <w:link w:val="BodyTextChar"/>
    <w:rsid w:val="00C26A06"/>
    <w:pPr>
      <w:spacing w:before="60" w:after="60"/>
      <w:jc w:val="both"/>
    </w:pPr>
  </w:style>
  <w:style w:type="character" w:customStyle="1" w:styleId="BodyTextChar">
    <w:name w:val="Body Text Char"/>
    <w:basedOn w:val="DefaultParagraphFont"/>
    <w:link w:val="BodyText"/>
    <w:rsid w:val="00C26A06"/>
    <w:rPr>
      <w:rFonts w:ascii="Times New Roman" w:eastAsia="Times New Roman" w:hAnsi="Times New Roman" w:cs="Times New Roman"/>
      <w:kern w:val="28"/>
      <w:szCs w:val="20"/>
    </w:rPr>
  </w:style>
  <w:style w:type="paragraph" w:styleId="Header">
    <w:name w:val="header"/>
    <w:basedOn w:val="Normal"/>
    <w:link w:val="HeaderChar"/>
    <w:uiPriority w:val="99"/>
    <w:semiHidden/>
    <w:unhideWhenUsed/>
    <w:rsid w:val="00C26A06"/>
    <w:pPr>
      <w:tabs>
        <w:tab w:val="center" w:pos="4680"/>
        <w:tab w:val="right" w:pos="9360"/>
      </w:tabs>
    </w:pPr>
  </w:style>
  <w:style w:type="character" w:customStyle="1" w:styleId="HeaderChar">
    <w:name w:val="Header Char"/>
    <w:basedOn w:val="DefaultParagraphFont"/>
    <w:link w:val="Header"/>
    <w:uiPriority w:val="99"/>
    <w:semiHidden/>
    <w:rsid w:val="00C26A06"/>
    <w:rPr>
      <w:rFonts w:ascii="Times New Roman" w:eastAsia="Times New Roman" w:hAnsi="Times New Roman" w:cs="Times New Roman"/>
      <w:kern w:val="28"/>
      <w:szCs w:val="20"/>
    </w:rPr>
  </w:style>
  <w:style w:type="paragraph" w:styleId="Footer">
    <w:name w:val="footer"/>
    <w:basedOn w:val="Normal"/>
    <w:link w:val="FooterChar"/>
    <w:unhideWhenUsed/>
    <w:rsid w:val="00C26A06"/>
    <w:pPr>
      <w:tabs>
        <w:tab w:val="center" w:pos="4680"/>
        <w:tab w:val="right" w:pos="9360"/>
      </w:tabs>
    </w:pPr>
  </w:style>
  <w:style w:type="character" w:customStyle="1" w:styleId="FooterChar">
    <w:name w:val="Footer Char"/>
    <w:basedOn w:val="DefaultParagraphFont"/>
    <w:link w:val="Footer"/>
    <w:rsid w:val="00C26A06"/>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D7980-E1F1-44A7-A574-BAAC526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2022-05-24T15:24:00Z</dcterms:created>
  <dcterms:modified xsi:type="dcterms:W3CDTF">2022-05-24T15:24:00Z</dcterms:modified>
</cp:coreProperties>
</file>