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B5" w:rsidRDefault="00DD6DB5" w:rsidP="00DD6DB5">
      <w:pPr>
        <w:pBdr>
          <w:bottom w:val="single" w:sz="4" w:space="1" w:color="auto"/>
        </w:pBdr>
        <w:tabs>
          <w:tab w:val="right" w:pos="9000"/>
        </w:tabs>
      </w:pPr>
      <w:r>
        <w:t>October 2022</w:t>
      </w:r>
      <w:r>
        <w:tab/>
        <w:t>6:250</w:t>
      </w:r>
    </w:p>
    <w:p w:rsidR="00DD6DB5" w:rsidRDefault="00DD6DB5" w:rsidP="00DD6DB5">
      <w:pPr>
        <w:tabs>
          <w:tab w:val="right" w:pos="9000"/>
        </w:tabs>
      </w:pPr>
    </w:p>
    <w:p w:rsidR="00DD6DB5" w:rsidRDefault="00DD6DB5" w:rsidP="00DD6DB5">
      <w:pPr>
        <w:pStyle w:val="Heading1"/>
      </w:pPr>
      <w:r>
        <w:t>Instruction</w:t>
      </w:r>
    </w:p>
    <w:p w:rsidR="00DD6DB5" w:rsidRDefault="00DD6DB5" w:rsidP="00DD6DB5">
      <w:pPr>
        <w:pStyle w:val="Heading2"/>
        <w:rPr>
          <w:b w:val="0"/>
          <w:spacing w:val="-2"/>
          <w:u w:val="none"/>
        </w:rPr>
      </w:pPr>
      <w:r>
        <w:t>Community Resource Persons and Volunteers</w:t>
      </w:r>
      <w:r>
        <w:rPr>
          <w:u w:val="none"/>
        </w:rPr>
        <w:t xml:space="preserve"> </w:t>
      </w:r>
    </w:p>
    <w:p w:rsidR="00DD6DB5" w:rsidRDefault="00DD6DB5" w:rsidP="00DD6DB5">
      <w:pPr>
        <w:pStyle w:val="BodyText"/>
      </w:pPr>
      <w:r>
        <w:t>The School Board encourages the use of resource persons and volunteers to: (1) increase students’ educational attainment; (2) provide enrichment experiences for students; (3) increase the effective utilization of staff time and skills;</w:t>
      </w:r>
      <w:r w:rsidRPr="00265D51">
        <w:rPr>
          <w:spacing w:val="-20"/>
        </w:rPr>
        <w:t xml:space="preserve"> </w:t>
      </w:r>
      <w:r w:rsidRPr="00955CD3">
        <w:t>(4)</w:t>
      </w:r>
      <w:r w:rsidRPr="000B6938">
        <w:t xml:space="preserve"> </w:t>
      </w:r>
      <w:r>
        <w:t>give more individual attention to students; and (5) promote greater community involvement.</w:t>
      </w:r>
    </w:p>
    <w:p w:rsidR="00DD6DB5" w:rsidRPr="00265D51" w:rsidRDefault="00DD6DB5" w:rsidP="00DD6DB5">
      <w:pPr>
        <w:pStyle w:val="BodyText"/>
        <w:rPr>
          <w:rStyle w:val="FootnoteReference"/>
        </w:rPr>
      </w:pPr>
      <w:r>
        <w:t>Resource persons and v</w:t>
      </w:r>
      <w:r w:rsidRPr="00265D51">
        <w:t>olunteers may be used:</w:t>
      </w:r>
      <w:r w:rsidRPr="00265D51">
        <w:rPr>
          <w:rStyle w:val="FootnoteReference"/>
        </w:rPr>
        <w:t xml:space="preserve"> </w:t>
      </w:r>
    </w:p>
    <w:p w:rsidR="00DD6DB5" w:rsidRDefault="00DD6DB5" w:rsidP="00DD6DB5">
      <w:pPr>
        <w:pStyle w:val="LISTNUMBERDOUBLE"/>
        <w:numPr>
          <w:ilvl w:val="0"/>
          <w:numId w:val="1"/>
        </w:numPr>
        <w:spacing w:after="0"/>
      </w:pPr>
      <w:r>
        <w:t xml:space="preserve">For non-teaching duties not requiring instructional judgment or evaluation of students; </w:t>
      </w:r>
    </w:p>
    <w:p w:rsidR="00DD6DB5" w:rsidRDefault="00DD6DB5" w:rsidP="00DD6DB5">
      <w:pPr>
        <w:pStyle w:val="LISTNUMBERDOUBLE"/>
        <w:numPr>
          <w:ilvl w:val="0"/>
          <w:numId w:val="1"/>
        </w:numPr>
        <w:spacing w:after="0"/>
      </w:pPr>
      <w:r>
        <w:t xml:space="preserve">For supervising study halls, long distance teaching reception areas used incident to instructional programs transmitted by electronic media (such as computers, video, and audio), detention and discipline areas, and school-sponsored extracurricular activities; </w:t>
      </w:r>
    </w:p>
    <w:p w:rsidR="00DD6DB5" w:rsidRDefault="00DD6DB5" w:rsidP="00DD6DB5">
      <w:pPr>
        <w:pStyle w:val="LISTNUMBERDOUBLE"/>
        <w:numPr>
          <w:ilvl w:val="0"/>
          <w:numId w:val="1"/>
        </w:numPr>
        <w:spacing w:after="0"/>
      </w:pPr>
      <w:r>
        <w:t xml:space="preserve">To assist with academic programs under a licensed teacher’s immediate supervision; </w:t>
      </w:r>
    </w:p>
    <w:p w:rsidR="00DD6DB5" w:rsidRDefault="00DD6DB5" w:rsidP="00DD6DB5">
      <w:pPr>
        <w:pStyle w:val="LISTNUMBERDOUBLE"/>
        <w:numPr>
          <w:ilvl w:val="0"/>
          <w:numId w:val="1"/>
        </w:numPr>
        <w:spacing w:after="0"/>
      </w:pPr>
      <w:r>
        <w:t>T</w:t>
      </w:r>
      <w:r w:rsidRPr="004851A7">
        <w:t xml:space="preserve">o </w:t>
      </w:r>
      <w:r>
        <w:t xml:space="preserve">assist </w:t>
      </w:r>
      <w:r w:rsidRPr="004851A7">
        <w:t>in times of violence or other traumatic incidents within</w:t>
      </w:r>
      <w:r>
        <w:t xml:space="preserve"> the District </w:t>
      </w:r>
      <w:r w:rsidRPr="004851A7">
        <w:t xml:space="preserve">by providing crisis intervention services to lessen the effects of emotional trauma on </w:t>
      </w:r>
      <w:r>
        <w:t xml:space="preserve">staff, students, and </w:t>
      </w:r>
      <w:r w:rsidRPr="004851A7">
        <w:t>the community</w:t>
      </w:r>
      <w:r>
        <w:t xml:space="preserve">, provided the volunteer meets the qualifications established by the Ill. </w:t>
      </w:r>
      <w:r w:rsidRPr="004851A7">
        <w:t>School Crisis Assistance Team Steering Committee</w:t>
      </w:r>
      <w:r>
        <w:t xml:space="preserve">; </w:t>
      </w:r>
    </w:p>
    <w:p w:rsidR="00DD6DB5" w:rsidRDefault="00DD6DB5" w:rsidP="00DD6DB5">
      <w:pPr>
        <w:pStyle w:val="LISTNUMBERDOUBLE"/>
        <w:numPr>
          <w:ilvl w:val="0"/>
          <w:numId w:val="1"/>
        </w:numPr>
        <w:spacing w:after="0"/>
      </w:pPr>
      <w:r>
        <w:t xml:space="preserve">As a guest lecturer or resource person under a licensed teacher’s direction and with the administration’s approval; or </w:t>
      </w:r>
    </w:p>
    <w:p w:rsidR="00DD6DB5" w:rsidRDefault="00DD6DB5" w:rsidP="00DD6DB5">
      <w:pPr>
        <w:pStyle w:val="LISTNUMBERDOUBLE"/>
        <w:numPr>
          <w:ilvl w:val="0"/>
          <w:numId w:val="1"/>
        </w:numPr>
        <w:spacing w:after="0"/>
      </w:pPr>
      <w:r>
        <w:t xml:space="preserve">As supervisors, chaperones, or sponsors for non-academic school activities. </w:t>
      </w:r>
    </w:p>
    <w:p w:rsidR="00DD6DB5" w:rsidRDefault="00DD6DB5" w:rsidP="00DD6DB5">
      <w:pPr>
        <w:pStyle w:val="BodyText"/>
      </w:pPr>
      <w:r>
        <w:t xml:space="preserve">The Superintendent shall </w:t>
      </w:r>
      <w:r w:rsidRPr="007D2E7D">
        <w:t xml:space="preserve">follow </w:t>
      </w:r>
      <w:r>
        <w:t xml:space="preserve">Board </w:t>
      </w:r>
      <w:r w:rsidRPr="007D2E7D">
        <w:t xml:space="preserve">policy 4:175, </w:t>
      </w:r>
      <w:r w:rsidRPr="007D2E7D">
        <w:rPr>
          <w:i/>
        </w:rPr>
        <w:t>Convicted Child Sex Offender; Screening; Notifications</w:t>
      </w:r>
      <w:r>
        <w:rPr>
          <w:i/>
        </w:rPr>
        <w:t>,</w:t>
      </w:r>
      <w:r w:rsidRPr="007D2E7D">
        <w:t xml:space="preserve"> </w:t>
      </w:r>
      <w:r>
        <w:t xml:space="preserve">to establish procedures for securing and screening resource persons and volunteers. A person who is a </w:t>
      </w:r>
      <w:r w:rsidRPr="00E43422">
        <w:rPr>
          <w:i/>
        </w:rPr>
        <w:t>sex offender</w:t>
      </w:r>
      <w:r>
        <w:t xml:space="preserve">, as defined by the Sex Offender Registration Act, or a </w:t>
      </w:r>
      <w:r w:rsidRPr="00E43422">
        <w:rPr>
          <w:i/>
        </w:rPr>
        <w:t>violent offender against youth</w:t>
      </w:r>
      <w:r>
        <w:t xml:space="preserve">, as defined in the </w:t>
      </w:r>
      <w:r w:rsidRPr="00104043">
        <w:t>Murderer and Violent Offender Against Youth Registration Act,</w:t>
      </w:r>
      <w:r>
        <w:t xml:space="preserve"> </w:t>
      </w:r>
      <w:bookmarkStart w:id="0" w:name="Sec6250"/>
      <w:bookmarkEnd w:id="0"/>
      <w:r>
        <w:t xml:space="preserve">is prohibited from being a resource person or volunteer. All volunteer coaches must comply with the requirement to report hazing in policy 5:90, </w:t>
      </w:r>
      <w:r w:rsidRPr="00CB5969">
        <w:rPr>
          <w:i/>
        </w:rPr>
        <w:t>Abused and Neglected Child Reporting</w:t>
      </w:r>
      <w:r>
        <w:t xml:space="preserve">. </w:t>
      </w:r>
    </w:p>
    <w:p w:rsidR="00DD6DB5" w:rsidRDefault="00DD6DB5" w:rsidP="00DD6DB5">
      <w:pPr>
        <w:pStyle w:val="LEGALREF"/>
      </w:pPr>
      <w:r>
        <w:t>LEGAL REF.:</w:t>
      </w:r>
      <w:r>
        <w:tab/>
        <w:t>105 ILCS 5/10-22.34, 5/10-22.34a, and 5/10-22.34b.</w:t>
      </w:r>
    </w:p>
    <w:p w:rsidR="00DD6DB5" w:rsidRDefault="00DD6DB5" w:rsidP="00DD6DB5">
      <w:pPr>
        <w:pStyle w:val="LEGALREFINDENT"/>
      </w:pPr>
      <w:r>
        <w:t>720 ILCS 5/12C-50.1,</w:t>
      </w:r>
      <w:r w:rsidRPr="00E67C09">
        <w:t xml:space="preserve"> Failure to Report Hazing</w:t>
      </w:r>
      <w:r>
        <w:t>.</w:t>
      </w:r>
    </w:p>
    <w:p w:rsidR="00DD6DB5" w:rsidRDefault="00DD6DB5" w:rsidP="00DD6DB5">
      <w:pPr>
        <w:pStyle w:val="LEGALREFINDENT"/>
      </w:pPr>
      <w:r w:rsidRPr="00AC3F5E">
        <w:t>730 ILCS 150/</w:t>
      </w:r>
      <w:r>
        <w:t xml:space="preserve">1 </w:t>
      </w:r>
      <w:r w:rsidRPr="00E43422">
        <w:rPr>
          <w:u w:val="single"/>
        </w:rPr>
        <w:t>et</w:t>
      </w:r>
      <w:r>
        <w:t xml:space="preserve"> </w:t>
      </w:r>
      <w:r w:rsidRPr="00E43422">
        <w:rPr>
          <w:u w:val="single"/>
        </w:rPr>
        <w:t>seq</w:t>
      </w:r>
      <w:r>
        <w:t>., Sex Offender Registration Act.</w:t>
      </w:r>
    </w:p>
    <w:p w:rsidR="00DD6DB5" w:rsidRDefault="00DD6DB5" w:rsidP="00DD6DB5">
      <w:pPr>
        <w:pStyle w:val="LEGALREFINDENT"/>
      </w:pPr>
      <w:r>
        <w:t xml:space="preserve">730 ILCS 152/101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</w:t>
      </w:r>
      <w:r>
        <w:t xml:space="preserve">., </w:t>
      </w:r>
      <w:r w:rsidRPr="008A3869">
        <w:t xml:space="preserve">Sex Offender Community Notification </w:t>
      </w:r>
      <w:r>
        <w:t>Law.</w:t>
      </w:r>
    </w:p>
    <w:p w:rsidR="00DD6DB5" w:rsidRDefault="00DD6DB5" w:rsidP="00DD6DB5">
      <w:pPr>
        <w:pStyle w:val="LEGALREFINDENT"/>
      </w:pPr>
      <w:r>
        <w:t xml:space="preserve">730 ILCS 154/75 </w:t>
      </w:r>
      <w:r w:rsidRPr="00E43422">
        <w:rPr>
          <w:u w:val="single"/>
        </w:rPr>
        <w:t>et</w:t>
      </w:r>
      <w:r>
        <w:t xml:space="preserve"> </w:t>
      </w:r>
      <w:r w:rsidRPr="00E43422">
        <w:rPr>
          <w:u w:val="single"/>
        </w:rPr>
        <w:t>seq</w:t>
      </w:r>
      <w:r>
        <w:rPr>
          <w:u w:val="single"/>
        </w:rPr>
        <w:t>.</w:t>
      </w:r>
      <w:r>
        <w:t xml:space="preserve">, </w:t>
      </w:r>
      <w:r w:rsidRPr="00890288">
        <w:t>Murderer and Violent Offender Against Youth Community Notification Law</w:t>
      </w:r>
      <w:r>
        <w:t>.</w:t>
      </w:r>
    </w:p>
    <w:p w:rsidR="00DD6DB5" w:rsidRDefault="00DD6DB5" w:rsidP="00DD6DB5">
      <w:pPr>
        <w:pStyle w:val="LEGALREFINDENT"/>
      </w:pPr>
      <w:r>
        <w:t xml:space="preserve">730 ILCS 154/101 </w:t>
      </w:r>
      <w:r w:rsidRPr="00E43422">
        <w:rPr>
          <w:u w:val="single"/>
        </w:rPr>
        <w:t>et</w:t>
      </w:r>
      <w:r>
        <w:t xml:space="preserve"> </w:t>
      </w:r>
      <w:r w:rsidRPr="00E43422">
        <w:rPr>
          <w:u w:val="single"/>
        </w:rPr>
        <w:t>seq</w:t>
      </w:r>
      <w:r>
        <w:t xml:space="preserve">., </w:t>
      </w:r>
      <w:r w:rsidRPr="008A3869">
        <w:t>Murderer and Violent Offender Against Youth Registration Act</w:t>
      </w:r>
      <w:r>
        <w:t>.</w:t>
      </w:r>
    </w:p>
    <w:p w:rsidR="00DD6DB5" w:rsidRDefault="00DD6DB5" w:rsidP="00DD6DB5">
      <w:pPr>
        <w:pStyle w:val="CROSSREF"/>
      </w:pPr>
      <w:r>
        <w:t>CROSS REF.:</w:t>
      </w:r>
      <w:r>
        <w:tab/>
        <w:t>4:170 (Safety), 4:175 (</w:t>
      </w:r>
      <w:r w:rsidRPr="00AC3F5E">
        <w:t>Convicted Child Sex Offender; Screening; Notifications</w:t>
      </w:r>
      <w:r>
        <w:t>), 5:90 (Abused and Neglected Child Reporting), 5:280 (Duties and Qualifications), 8:30 (Visitors to and Conduct on School Property), 8:95 (Parental Involvement)</w:t>
      </w:r>
    </w:p>
    <w:p w:rsidR="00DD6DB5" w:rsidRDefault="00DD6DB5" w:rsidP="00DD6DB5">
      <w:pPr>
        <w:pStyle w:val="CROSSREF"/>
      </w:pPr>
      <w:r>
        <w:t>ADOPTED,:</w:t>
      </w:r>
      <w:r>
        <w:tab/>
        <w:t>January 12, 2023</w:t>
      </w:r>
    </w:p>
    <w:p w:rsidR="00FE0394" w:rsidRDefault="00FE0394"/>
    <w:sectPr w:rsidR="00FE0394" w:rsidSect="00FE039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B5" w:rsidRDefault="00DD6DB5">
    <w:pPr>
      <w:pStyle w:val="Footer"/>
      <w:tabs>
        <w:tab w:val="clear" w:pos="4320"/>
        <w:tab w:val="clear" w:pos="8640"/>
        <w:tab w:val="right" w:pos="9000"/>
      </w:tabs>
    </w:pPr>
  </w:p>
  <w:p w:rsidR="00DD6DB5" w:rsidRDefault="00DD6DB5">
    <w:pPr>
      <w:pStyle w:val="Footer"/>
      <w:tabs>
        <w:tab w:val="clear" w:pos="4320"/>
        <w:tab w:val="clear" w:pos="8640"/>
        <w:tab w:val="right" w:pos="9000"/>
      </w:tabs>
    </w:pPr>
    <w:r>
      <w:t>6:250</w:t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27F"/>
    <w:multiLevelType w:val="singleLevel"/>
    <w:tmpl w:val="BD98EC7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76EFF"/>
    <w:rsid w:val="00007C06"/>
    <w:rsid w:val="001046AE"/>
    <w:rsid w:val="001658EA"/>
    <w:rsid w:val="00176EFF"/>
    <w:rsid w:val="00390B7F"/>
    <w:rsid w:val="00463E0A"/>
    <w:rsid w:val="00591717"/>
    <w:rsid w:val="0078597B"/>
    <w:rsid w:val="00B25226"/>
    <w:rsid w:val="00DD6DB5"/>
    <w:rsid w:val="00E73F8A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D6DB5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  <w:lang/>
    </w:rPr>
  </w:style>
  <w:style w:type="paragraph" w:styleId="Heading2">
    <w:name w:val="heading 2"/>
    <w:basedOn w:val="Normal"/>
    <w:next w:val="BodyText"/>
    <w:link w:val="Heading2Char"/>
    <w:qFormat/>
    <w:rsid w:val="00DD6DB5"/>
    <w:pPr>
      <w:keepNext/>
      <w:spacing w:before="120" w:after="120"/>
      <w:outlineLvl w:val="1"/>
    </w:pPr>
    <w:rPr>
      <w:rFonts w:ascii="Arial" w:hAnsi="Arial"/>
      <w:b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6DB5"/>
    <w:rPr>
      <w:rFonts w:ascii="Arial" w:eastAsia="Times New Roman" w:hAnsi="Arial" w:cs="Times New Roman"/>
      <w:b/>
      <w:kern w:val="28"/>
      <w:sz w:val="28"/>
      <w:szCs w:val="20"/>
      <w:u w:val="single"/>
      <w:lang/>
    </w:rPr>
  </w:style>
  <w:style w:type="character" w:customStyle="1" w:styleId="Heading2Char">
    <w:name w:val="Heading 2 Char"/>
    <w:basedOn w:val="DefaultParagraphFont"/>
    <w:link w:val="Heading2"/>
    <w:rsid w:val="00DD6DB5"/>
    <w:rPr>
      <w:rFonts w:ascii="Arial" w:eastAsia="Times New Roman" w:hAnsi="Arial" w:cs="Times New Roman"/>
      <w:b/>
      <w:kern w:val="28"/>
      <w:szCs w:val="20"/>
      <w:u w:val="single"/>
      <w:lang/>
    </w:rPr>
  </w:style>
  <w:style w:type="paragraph" w:styleId="BodyText">
    <w:name w:val="Body Text"/>
    <w:basedOn w:val="Normal"/>
    <w:link w:val="BodyTextChar"/>
    <w:rsid w:val="00DD6DB5"/>
    <w:pPr>
      <w:spacing w:before="60" w:after="60"/>
      <w:jc w:val="both"/>
    </w:pPr>
    <w:rPr>
      <w:lang/>
    </w:rPr>
  </w:style>
  <w:style w:type="character" w:customStyle="1" w:styleId="BodyTextChar">
    <w:name w:val="Body Text Char"/>
    <w:basedOn w:val="DefaultParagraphFont"/>
    <w:link w:val="BodyText"/>
    <w:rsid w:val="00DD6DB5"/>
    <w:rPr>
      <w:rFonts w:ascii="Times New Roman" w:eastAsia="Times New Roman" w:hAnsi="Times New Roman" w:cs="Times New Roman"/>
      <w:kern w:val="28"/>
      <w:szCs w:val="20"/>
      <w:lang/>
    </w:rPr>
  </w:style>
  <w:style w:type="paragraph" w:customStyle="1" w:styleId="LEGALREF">
    <w:name w:val="LEGAL REF"/>
    <w:basedOn w:val="Normal"/>
    <w:link w:val="LEGALREFChar"/>
    <w:rsid w:val="00DD6DB5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  <w:lang/>
    </w:rPr>
  </w:style>
  <w:style w:type="paragraph" w:customStyle="1" w:styleId="LEGALREFINDENT">
    <w:name w:val="LEGAL REF INDENT"/>
    <w:basedOn w:val="LEGALREF"/>
    <w:link w:val="LEGALREFINDENTChar"/>
    <w:rsid w:val="00DD6DB5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DD6DB5"/>
    <w:pPr>
      <w:keepNext/>
      <w:keepLines/>
      <w:tabs>
        <w:tab w:val="left" w:pos="1800"/>
      </w:tabs>
      <w:spacing w:before="240"/>
      <w:ind w:left="1800" w:hanging="1800"/>
    </w:pPr>
    <w:rPr>
      <w:lang/>
    </w:rPr>
  </w:style>
  <w:style w:type="character" w:styleId="FootnoteReference">
    <w:name w:val="footnote reference"/>
    <w:rsid w:val="00DD6DB5"/>
    <w:rPr>
      <w:rFonts w:ascii="Times New Roman" w:hAnsi="Times New Roman"/>
      <w:b/>
      <w:position w:val="6"/>
      <w:sz w:val="18"/>
    </w:rPr>
  </w:style>
  <w:style w:type="paragraph" w:customStyle="1" w:styleId="LISTNUMBERDOUBLE">
    <w:name w:val="LIST NUMBER DOUBLE"/>
    <w:basedOn w:val="ListNumber2"/>
    <w:rsid w:val="00DD6DB5"/>
    <w:pPr>
      <w:numPr>
        <w:numId w:val="0"/>
      </w:numPr>
      <w:spacing w:before="60" w:after="60"/>
      <w:ind w:left="720" w:hanging="360"/>
      <w:contextualSpacing w:val="0"/>
      <w:jc w:val="both"/>
    </w:pPr>
    <w:rPr>
      <w:lang/>
    </w:rPr>
  </w:style>
  <w:style w:type="paragraph" w:styleId="Header">
    <w:name w:val="header"/>
    <w:basedOn w:val="Normal"/>
    <w:link w:val="HeaderChar"/>
    <w:rsid w:val="00DD6DB5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DD6DB5"/>
    <w:rPr>
      <w:rFonts w:ascii="Times New Roman" w:eastAsia="Times New Roman" w:hAnsi="Times New Roman" w:cs="Times New Roman"/>
      <w:kern w:val="28"/>
      <w:szCs w:val="20"/>
      <w:lang/>
    </w:rPr>
  </w:style>
  <w:style w:type="paragraph" w:styleId="Footer">
    <w:name w:val="footer"/>
    <w:basedOn w:val="Normal"/>
    <w:link w:val="FooterChar"/>
    <w:rsid w:val="00DD6DB5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DD6DB5"/>
    <w:rPr>
      <w:rFonts w:ascii="Times New Roman" w:eastAsia="Times New Roman" w:hAnsi="Times New Roman" w:cs="Times New Roman"/>
      <w:kern w:val="28"/>
      <w:szCs w:val="20"/>
      <w:lang/>
    </w:rPr>
  </w:style>
  <w:style w:type="character" w:customStyle="1" w:styleId="LEGALREFChar">
    <w:name w:val="LEGAL REF Char"/>
    <w:link w:val="LEGALREF"/>
    <w:rsid w:val="00DD6DB5"/>
    <w:rPr>
      <w:rFonts w:ascii="Times New Roman" w:eastAsia="Times New Roman" w:hAnsi="Times New Roman" w:cs="Times New Roman"/>
      <w:spacing w:val="-2"/>
      <w:kern w:val="28"/>
      <w:szCs w:val="20"/>
      <w:lang/>
    </w:rPr>
  </w:style>
  <w:style w:type="character" w:customStyle="1" w:styleId="CROSSREFChar">
    <w:name w:val="CROSS REF Char"/>
    <w:link w:val="CROSSREF"/>
    <w:rsid w:val="00DD6DB5"/>
    <w:rPr>
      <w:rFonts w:ascii="Times New Roman" w:eastAsia="Times New Roman" w:hAnsi="Times New Roman" w:cs="Times New Roman"/>
      <w:kern w:val="28"/>
      <w:szCs w:val="20"/>
      <w:lang/>
    </w:rPr>
  </w:style>
  <w:style w:type="character" w:customStyle="1" w:styleId="LEGALREFINDENTChar">
    <w:name w:val="LEGAL REF INDENT Char"/>
    <w:link w:val="LEGALREFINDENT"/>
    <w:rsid w:val="00DD6DB5"/>
    <w:rPr>
      <w:rFonts w:ascii="Times New Roman" w:eastAsia="Times New Roman" w:hAnsi="Times New Roman" w:cs="Times New Roman"/>
      <w:spacing w:val="-2"/>
      <w:kern w:val="28"/>
      <w:szCs w:val="20"/>
      <w:lang/>
    </w:rPr>
  </w:style>
  <w:style w:type="paragraph" w:styleId="ListNumber2">
    <w:name w:val="List Number 2"/>
    <w:basedOn w:val="Normal"/>
    <w:uiPriority w:val="99"/>
    <w:semiHidden/>
    <w:unhideWhenUsed/>
    <w:rsid w:val="00DD6DB5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185E-1BB0-47A7-BB27-30B9CA7B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2023-02-08T16:00:00Z</dcterms:created>
  <dcterms:modified xsi:type="dcterms:W3CDTF">2023-02-08T16:00:00Z</dcterms:modified>
</cp:coreProperties>
</file>