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EB4" w:rsidRDefault="002676AF">
      <w:pPr>
        <w:pBdr>
          <w:top w:val="nil"/>
          <w:left w:val="nil"/>
          <w:bottom w:val="single" w:sz="4" w:space="1" w:color="000000"/>
          <w:right w:val="nil"/>
          <w:between w:val="nil"/>
        </w:pBdr>
        <w:tabs>
          <w:tab w:val="center" w:pos="4320"/>
          <w:tab w:val="right" w:pos="8640"/>
          <w:tab w:val="right" w:pos="9000"/>
        </w:tabs>
        <w:rPr>
          <w:color w:val="000000"/>
        </w:rPr>
      </w:pPr>
      <w:r>
        <w:rPr>
          <w:color w:val="000000"/>
        </w:rPr>
        <w:t>June 2021</w:t>
      </w:r>
      <w:r>
        <w:rPr>
          <w:color w:val="000000"/>
        </w:rPr>
        <w:tab/>
      </w:r>
      <w:r>
        <w:rPr>
          <w:color w:val="000000"/>
        </w:rPr>
        <w:tab/>
        <w:t>5:240-AP</w:t>
      </w:r>
    </w:p>
    <w:p w:rsidR="00D92EB4" w:rsidRDefault="00D92EB4">
      <w:pPr>
        <w:tabs>
          <w:tab w:val="right" w:pos="9000"/>
        </w:tabs>
      </w:pPr>
    </w:p>
    <w:p w:rsidR="00D92EB4" w:rsidRDefault="002676AF">
      <w:pPr>
        <w:pStyle w:val="Heading10"/>
        <w:rPr>
          <w:sz w:val="24"/>
          <w:szCs w:val="24"/>
        </w:rPr>
      </w:pPr>
      <w:r>
        <w:rPr>
          <w:sz w:val="24"/>
          <w:szCs w:val="24"/>
        </w:rPr>
        <w:t>Professional Personnel</w:t>
      </w:r>
    </w:p>
    <w:p w:rsidR="00D92EB4" w:rsidRDefault="002676AF">
      <w:pPr>
        <w:pStyle w:val="Heading20"/>
        <w:rPr>
          <w:sz w:val="24"/>
          <w:szCs w:val="24"/>
        </w:rPr>
      </w:pPr>
      <w:r>
        <w:rPr>
          <w:sz w:val="24"/>
          <w:szCs w:val="24"/>
        </w:rPr>
        <w:t>Administrative Procedure - Suspensions</w:t>
      </w:r>
    </w:p>
    <w:p w:rsidR="00D92EB4" w:rsidRDefault="002676AF">
      <w:pPr>
        <w:keepNext/>
        <w:pBdr>
          <w:top w:val="nil"/>
          <w:left w:val="nil"/>
          <w:bottom w:val="nil"/>
          <w:right w:val="nil"/>
          <w:between w:val="nil"/>
        </w:pBdr>
        <w:spacing w:before="120" w:after="240"/>
        <w:rPr>
          <w:color w:val="000000"/>
          <w:u w:val="single"/>
        </w:rPr>
      </w:pPr>
      <w:proofErr w:type="spellStart"/>
      <w:r>
        <w:rPr>
          <w:rFonts w:ascii="ZWAdobeF" w:eastAsia="ZWAdobeF" w:hAnsi="ZWAdobeF" w:cs="ZWAdobeF"/>
          <w:color w:val="000000"/>
        </w:rPr>
        <w:t>U</w:t>
      </w:r>
      <w:r>
        <w:rPr>
          <w:color w:val="000000"/>
          <w:u w:val="single"/>
        </w:rPr>
        <w:t>Suspension</w:t>
      </w:r>
      <w:proofErr w:type="spellEnd"/>
      <w:r>
        <w:rPr>
          <w:color w:val="000000"/>
          <w:u w:val="single"/>
        </w:rPr>
        <w:t xml:space="preserve"> Without Pay</w:t>
      </w:r>
    </w:p>
    <w:tbl>
      <w:tblPr>
        <w:tblStyle w:val="Table12"/>
        <w:tblW w:w="900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610"/>
        <w:gridCol w:w="6390"/>
      </w:tblGrid>
      <w:tr w:rsidR="00D92EB4">
        <w:tc>
          <w:tcPr>
            <w:tcW w:w="2610" w:type="dxa"/>
            <w:tcBorders>
              <w:top w:val="single" w:sz="6" w:space="0" w:color="000000"/>
              <w:left w:val="single" w:sz="6" w:space="0" w:color="000000"/>
              <w:bottom w:val="single" w:sz="6" w:space="0" w:color="000000"/>
              <w:right w:val="single" w:sz="6" w:space="0" w:color="000000"/>
            </w:tcBorders>
          </w:tcPr>
          <w:p w:rsidR="00D92EB4" w:rsidRDefault="002676AF">
            <w:pPr>
              <w:pBdr>
                <w:top w:val="nil"/>
                <w:left w:val="nil"/>
                <w:bottom w:val="nil"/>
                <w:right w:val="nil"/>
                <w:between w:val="nil"/>
              </w:pBdr>
              <w:spacing w:before="60" w:after="60"/>
              <w:jc w:val="center"/>
              <w:rPr>
                <w:b/>
                <w:color w:val="000000"/>
                <w:sz w:val="24"/>
                <w:szCs w:val="24"/>
              </w:rPr>
            </w:pPr>
            <w:r>
              <w:rPr>
                <w:b/>
                <w:color w:val="000000"/>
                <w:sz w:val="24"/>
                <w:szCs w:val="24"/>
              </w:rPr>
              <w:t>Actor</w:t>
            </w:r>
          </w:p>
        </w:tc>
        <w:tc>
          <w:tcPr>
            <w:tcW w:w="6390" w:type="dxa"/>
            <w:tcBorders>
              <w:top w:val="single" w:sz="6" w:space="0" w:color="000000"/>
              <w:left w:val="single" w:sz="6" w:space="0" w:color="000000"/>
              <w:bottom w:val="single" w:sz="6" w:space="0" w:color="000000"/>
              <w:right w:val="single" w:sz="6" w:space="0" w:color="000000"/>
            </w:tcBorders>
          </w:tcPr>
          <w:p w:rsidR="00D92EB4" w:rsidRDefault="002676AF">
            <w:pPr>
              <w:pBdr>
                <w:top w:val="nil"/>
                <w:left w:val="nil"/>
                <w:bottom w:val="nil"/>
                <w:right w:val="nil"/>
                <w:between w:val="nil"/>
              </w:pBdr>
              <w:spacing w:before="60" w:after="60"/>
              <w:jc w:val="center"/>
              <w:rPr>
                <w:b/>
                <w:color w:val="000000"/>
                <w:sz w:val="24"/>
                <w:szCs w:val="24"/>
              </w:rPr>
            </w:pPr>
            <w:r>
              <w:rPr>
                <w:b/>
                <w:color w:val="000000"/>
                <w:sz w:val="24"/>
                <w:szCs w:val="24"/>
              </w:rPr>
              <w:t>Action</w:t>
            </w:r>
          </w:p>
        </w:tc>
      </w:tr>
      <w:tr w:rsidR="00D92EB4">
        <w:tc>
          <w:tcPr>
            <w:tcW w:w="2610" w:type="dxa"/>
            <w:tcBorders>
              <w:top w:val="single" w:sz="6" w:space="0" w:color="000000"/>
              <w:left w:val="single" w:sz="6" w:space="0" w:color="000000"/>
              <w:bottom w:val="single" w:sz="6" w:space="0" w:color="000000"/>
              <w:right w:val="single" w:sz="6" w:space="0" w:color="000000"/>
            </w:tcBorders>
          </w:tcPr>
          <w:p w:rsidR="00D92EB4" w:rsidRDefault="002676AF">
            <w:pPr>
              <w:pBdr>
                <w:top w:val="nil"/>
                <w:left w:val="nil"/>
                <w:bottom w:val="nil"/>
                <w:right w:val="nil"/>
                <w:between w:val="nil"/>
              </w:pBdr>
              <w:spacing w:before="60" w:after="60"/>
              <w:rPr>
                <w:color w:val="000000"/>
                <w:sz w:val="24"/>
                <w:szCs w:val="24"/>
              </w:rPr>
            </w:pPr>
            <w:r>
              <w:rPr>
                <w:color w:val="000000"/>
                <w:sz w:val="24"/>
                <w:szCs w:val="24"/>
              </w:rPr>
              <w:t>School Board or designee</w:t>
            </w:r>
          </w:p>
        </w:tc>
        <w:tc>
          <w:tcPr>
            <w:tcW w:w="6390" w:type="dxa"/>
            <w:tcBorders>
              <w:top w:val="single" w:sz="6" w:space="0" w:color="000000"/>
              <w:left w:val="single" w:sz="6" w:space="0" w:color="000000"/>
              <w:bottom w:val="single" w:sz="6" w:space="0" w:color="000000"/>
              <w:right w:val="single" w:sz="6" w:space="0" w:color="000000"/>
            </w:tcBorders>
          </w:tcPr>
          <w:p w:rsidR="00D92EB4" w:rsidRDefault="002676AF">
            <w:pPr>
              <w:pBdr>
                <w:top w:val="nil"/>
                <w:left w:val="nil"/>
                <w:bottom w:val="nil"/>
                <w:right w:val="nil"/>
                <w:between w:val="nil"/>
              </w:pBdr>
              <w:spacing w:before="60" w:after="60"/>
              <w:rPr>
                <w:color w:val="000000"/>
                <w:sz w:val="24"/>
                <w:szCs w:val="24"/>
              </w:rPr>
            </w:pPr>
            <w:r>
              <w:rPr>
                <w:color w:val="000000"/>
                <w:sz w:val="24"/>
                <w:szCs w:val="24"/>
              </w:rPr>
              <w:t>Provide the professional employee with a written pre-suspension notification that includes:</w:t>
            </w:r>
          </w:p>
          <w:p w:rsidR="00D92EB4" w:rsidRDefault="002676AF">
            <w:pPr>
              <w:numPr>
                <w:ilvl w:val="0"/>
                <w:numId w:val="1"/>
              </w:numPr>
              <w:pBdr>
                <w:top w:val="nil"/>
                <w:left w:val="nil"/>
                <w:bottom w:val="nil"/>
                <w:right w:val="nil"/>
                <w:between w:val="nil"/>
              </w:pBdr>
              <w:rPr>
                <w:sz w:val="24"/>
                <w:szCs w:val="24"/>
              </w:rPr>
            </w:pPr>
            <w:r>
              <w:rPr>
                <w:color w:val="000000"/>
                <w:sz w:val="24"/>
                <w:szCs w:val="24"/>
              </w:rPr>
              <w:t>The reason(s) for</w:t>
            </w:r>
            <w:r>
              <w:rPr>
                <w:color w:val="000000"/>
                <w:sz w:val="24"/>
                <w:szCs w:val="24"/>
              </w:rPr>
              <w:t xml:space="preserve"> the proposed suspension;</w:t>
            </w:r>
          </w:p>
          <w:p w:rsidR="00D92EB4" w:rsidRDefault="002676AF">
            <w:pPr>
              <w:numPr>
                <w:ilvl w:val="0"/>
                <w:numId w:val="1"/>
              </w:numPr>
              <w:pBdr>
                <w:top w:val="nil"/>
                <w:left w:val="nil"/>
                <w:bottom w:val="nil"/>
                <w:right w:val="nil"/>
                <w:between w:val="nil"/>
              </w:pBdr>
              <w:rPr>
                <w:sz w:val="24"/>
                <w:szCs w:val="24"/>
              </w:rPr>
            </w:pPr>
            <w:r>
              <w:rPr>
                <w:color w:val="000000"/>
                <w:sz w:val="24"/>
                <w:szCs w:val="24"/>
              </w:rPr>
              <w:t>The date(s) and duration of the proposed suspension;</w:t>
            </w:r>
          </w:p>
          <w:p w:rsidR="00D92EB4" w:rsidRDefault="002676AF">
            <w:pPr>
              <w:numPr>
                <w:ilvl w:val="0"/>
                <w:numId w:val="1"/>
              </w:numPr>
              <w:pBdr>
                <w:top w:val="nil"/>
                <w:left w:val="nil"/>
                <w:bottom w:val="nil"/>
                <w:right w:val="nil"/>
                <w:between w:val="nil"/>
              </w:pBdr>
              <w:rPr>
                <w:sz w:val="24"/>
                <w:szCs w:val="24"/>
              </w:rPr>
            </w:pPr>
            <w:r>
              <w:rPr>
                <w:color w:val="000000"/>
                <w:sz w:val="24"/>
                <w:szCs w:val="24"/>
              </w:rPr>
              <w:t>How the employee may request a hearing; and</w:t>
            </w:r>
          </w:p>
          <w:p w:rsidR="00D92EB4" w:rsidRDefault="002676AF">
            <w:pPr>
              <w:numPr>
                <w:ilvl w:val="0"/>
                <w:numId w:val="1"/>
              </w:numPr>
              <w:pBdr>
                <w:top w:val="nil"/>
                <w:left w:val="nil"/>
                <w:bottom w:val="nil"/>
                <w:right w:val="nil"/>
                <w:between w:val="nil"/>
              </w:pBdr>
              <w:spacing w:after="60"/>
              <w:rPr>
                <w:sz w:val="24"/>
                <w:szCs w:val="24"/>
              </w:rPr>
            </w:pPr>
            <w:r>
              <w:rPr>
                <w:color w:val="000000"/>
                <w:sz w:val="24"/>
                <w:szCs w:val="24"/>
              </w:rPr>
              <w:t xml:space="preserve">The employee’s rights to be represented, present witnesses on his/her behalf, and cross-examine any witness who testifies against </w:t>
            </w:r>
            <w:r>
              <w:rPr>
                <w:color w:val="000000"/>
                <w:sz w:val="24"/>
                <w:szCs w:val="24"/>
              </w:rPr>
              <w:t>him/her.</w:t>
            </w:r>
          </w:p>
          <w:p w:rsidR="00D92EB4" w:rsidRDefault="002676AF">
            <w:pPr>
              <w:pBdr>
                <w:top w:val="nil"/>
                <w:left w:val="nil"/>
                <w:bottom w:val="nil"/>
                <w:right w:val="nil"/>
                <w:between w:val="nil"/>
              </w:pBdr>
              <w:spacing w:after="60"/>
              <w:rPr>
                <w:color w:val="000000"/>
                <w:sz w:val="24"/>
                <w:szCs w:val="24"/>
              </w:rPr>
            </w:pPr>
            <w:r>
              <w:rPr>
                <w:color w:val="000000"/>
                <w:sz w:val="24"/>
                <w:szCs w:val="24"/>
              </w:rPr>
              <w:t>Contact the Board Attorney for advice and assistance.</w:t>
            </w:r>
          </w:p>
        </w:tc>
      </w:tr>
      <w:tr w:rsidR="00D92EB4">
        <w:tc>
          <w:tcPr>
            <w:tcW w:w="2610" w:type="dxa"/>
            <w:tcBorders>
              <w:top w:val="single" w:sz="6" w:space="0" w:color="000000"/>
              <w:left w:val="single" w:sz="6" w:space="0" w:color="000000"/>
              <w:bottom w:val="single" w:sz="6" w:space="0" w:color="000000"/>
              <w:right w:val="single" w:sz="6" w:space="0" w:color="000000"/>
            </w:tcBorders>
          </w:tcPr>
          <w:p w:rsidR="00D92EB4" w:rsidRDefault="002676AF">
            <w:pPr>
              <w:pBdr>
                <w:top w:val="nil"/>
                <w:left w:val="nil"/>
                <w:bottom w:val="nil"/>
                <w:right w:val="nil"/>
                <w:between w:val="nil"/>
              </w:pBdr>
              <w:spacing w:before="60" w:after="60"/>
              <w:rPr>
                <w:color w:val="000000"/>
                <w:sz w:val="24"/>
                <w:szCs w:val="24"/>
              </w:rPr>
            </w:pPr>
            <w:r>
              <w:rPr>
                <w:color w:val="000000"/>
                <w:sz w:val="24"/>
                <w:szCs w:val="24"/>
              </w:rPr>
              <w:t>Professional Employee</w:t>
            </w:r>
          </w:p>
        </w:tc>
        <w:tc>
          <w:tcPr>
            <w:tcW w:w="6390" w:type="dxa"/>
            <w:tcBorders>
              <w:top w:val="single" w:sz="6" w:space="0" w:color="000000"/>
              <w:left w:val="single" w:sz="6" w:space="0" w:color="000000"/>
              <w:bottom w:val="single" w:sz="6" w:space="0" w:color="000000"/>
              <w:right w:val="single" w:sz="6" w:space="0" w:color="000000"/>
            </w:tcBorders>
          </w:tcPr>
          <w:p w:rsidR="00D92EB4" w:rsidRDefault="002676AF">
            <w:pPr>
              <w:pBdr>
                <w:top w:val="nil"/>
                <w:left w:val="nil"/>
                <w:bottom w:val="nil"/>
                <w:right w:val="nil"/>
                <w:between w:val="nil"/>
              </w:pBdr>
              <w:spacing w:before="60" w:after="60"/>
              <w:rPr>
                <w:color w:val="000000"/>
                <w:sz w:val="24"/>
                <w:szCs w:val="24"/>
              </w:rPr>
            </w:pPr>
            <w:r>
              <w:rPr>
                <w:color w:val="000000"/>
                <w:sz w:val="24"/>
                <w:szCs w:val="24"/>
              </w:rPr>
              <w:t xml:space="preserve">If a hearing is desired, request a hearing within five (5) calendar days of receipt of the pre-suspension notification. </w:t>
            </w:r>
            <w:r>
              <w:rPr>
                <w:rFonts w:ascii="ZWAdobeF" w:eastAsia="ZWAdobeF" w:hAnsi="ZWAdobeF" w:cs="ZWAdobeF"/>
                <w:color w:val="000000"/>
                <w:sz w:val="24"/>
                <w:szCs w:val="24"/>
              </w:rPr>
              <w:t>0F</w:t>
            </w:r>
          </w:p>
        </w:tc>
      </w:tr>
      <w:tr w:rsidR="00D92EB4">
        <w:tc>
          <w:tcPr>
            <w:tcW w:w="2610" w:type="dxa"/>
            <w:tcBorders>
              <w:top w:val="single" w:sz="6" w:space="0" w:color="000000"/>
              <w:left w:val="single" w:sz="6" w:space="0" w:color="000000"/>
              <w:bottom w:val="single" w:sz="6" w:space="0" w:color="000000"/>
              <w:right w:val="single" w:sz="6" w:space="0" w:color="000000"/>
            </w:tcBorders>
          </w:tcPr>
          <w:p w:rsidR="00D92EB4" w:rsidRDefault="002676AF">
            <w:pPr>
              <w:pBdr>
                <w:top w:val="nil"/>
                <w:left w:val="nil"/>
                <w:bottom w:val="nil"/>
                <w:right w:val="nil"/>
                <w:between w:val="nil"/>
              </w:pBdr>
              <w:spacing w:before="60" w:after="60"/>
              <w:rPr>
                <w:color w:val="000000"/>
                <w:sz w:val="24"/>
                <w:szCs w:val="24"/>
              </w:rPr>
            </w:pPr>
            <w:r>
              <w:rPr>
                <w:color w:val="000000"/>
                <w:sz w:val="24"/>
                <w:szCs w:val="24"/>
              </w:rPr>
              <w:t>School Board or designee</w:t>
            </w:r>
          </w:p>
        </w:tc>
        <w:tc>
          <w:tcPr>
            <w:tcW w:w="6390" w:type="dxa"/>
            <w:tcBorders>
              <w:top w:val="single" w:sz="6" w:space="0" w:color="000000"/>
              <w:left w:val="single" w:sz="6" w:space="0" w:color="000000"/>
              <w:bottom w:val="single" w:sz="6" w:space="0" w:color="000000"/>
              <w:right w:val="single" w:sz="6" w:space="0" w:color="000000"/>
            </w:tcBorders>
          </w:tcPr>
          <w:p w:rsidR="00D92EB4" w:rsidRDefault="002676AF">
            <w:pPr>
              <w:pBdr>
                <w:top w:val="nil"/>
                <w:left w:val="nil"/>
                <w:bottom w:val="nil"/>
                <w:right w:val="nil"/>
                <w:between w:val="nil"/>
              </w:pBdr>
              <w:spacing w:before="60" w:after="60"/>
              <w:rPr>
                <w:color w:val="000000"/>
                <w:sz w:val="24"/>
                <w:szCs w:val="24"/>
              </w:rPr>
            </w:pPr>
            <w:r>
              <w:rPr>
                <w:color w:val="000000"/>
                <w:sz w:val="24"/>
                <w:szCs w:val="24"/>
              </w:rPr>
              <w:t xml:space="preserve">If a hearing is </w:t>
            </w:r>
            <w:r>
              <w:rPr>
                <w:color w:val="000000"/>
                <w:sz w:val="24"/>
                <w:szCs w:val="24"/>
              </w:rPr>
              <w:t>requested:</w:t>
            </w:r>
          </w:p>
          <w:p w:rsidR="00D92EB4" w:rsidRDefault="002676AF">
            <w:pPr>
              <w:numPr>
                <w:ilvl w:val="0"/>
                <w:numId w:val="2"/>
              </w:numPr>
              <w:pBdr>
                <w:top w:val="nil"/>
                <w:left w:val="nil"/>
                <w:bottom w:val="nil"/>
                <w:right w:val="nil"/>
                <w:between w:val="nil"/>
              </w:pBdr>
              <w:spacing w:before="60" w:after="60"/>
              <w:ind w:left="360"/>
              <w:rPr>
                <w:sz w:val="24"/>
                <w:szCs w:val="24"/>
              </w:rPr>
            </w:pPr>
            <w:r>
              <w:rPr>
                <w:color w:val="000000"/>
                <w:sz w:val="24"/>
                <w:szCs w:val="24"/>
              </w:rPr>
              <w:t>Promptly schedule a hearing and give the employee written notification of its date, time, and place at least five (5) calendar days before the hearing. This notification shall set forth the procedure to be followed at the hearing as stated below</w:t>
            </w:r>
            <w:r>
              <w:rPr>
                <w:color w:val="000000"/>
                <w:sz w:val="24"/>
                <w:szCs w:val="24"/>
              </w:rPr>
              <w:t>.</w:t>
            </w:r>
          </w:p>
          <w:p w:rsidR="00D92EB4" w:rsidRDefault="002676AF">
            <w:pPr>
              <w:numPr>
                <w:ilvl w:val="0"/>
                <w:numId w:val="3"/>
              </w:numPr>
              <w:pBdr>
                <w:top w:val="nil"/>
                <w:left w:val="nil"/>
                <w:bottom w:val="nil"/>
                <w:right w:val="nil"/>
                <w:between w:val="nil"/>
              </w:pBdr>
              <w:spacing w:before="120" w:after="120"/>
              <w:ind w:left="720"/>
              <w:rPr>
                <w:sz w:val="24"/>
                <w:szCs w:val="24"/>
              </w:rPr>
            </w:pPr>
            <w:r>
              <w:rPr>
                <w:color w:val="000000"/>
                <w:sz w:val="24"/>
                <w:szCs w:val="24"/>
              </w:rPr>
              <w:t>The hearing shall be in closed session.</w:t>
            </w:r>
          </w:p>
          <w:p w:rsidR="00D92EB4" w:rsidRDefault="002676AF">
            <w:pPr>
              <w:numPr>
                <w:ilvl w:val="0"/>
                <w:numId w:val="3"/>
              </w:numPr>
              <w:pBdr>
                <w:top w:val="nil"/>
                <w:left w:val="nil"/>
                <w:bottom w:val="nil"/>
                <w:right w:val="nil"/>
                <w:between w:val="nil"/>
              </w:pBdr>
              <w:spacing w:before="120" w:after="120"/>
              <w:ind w:left="720"/>
              <w:rPr>
                <w:sz w:val="24"/>
                <w:szCs w:val="24"/>
              </w:rPr>
            </w:pPr>
            <w:r>
              <w:rPr>
                <w:color w:val="000000"/>
                <w:sz w:val="24"/>
                <w:szCs w:val="24"/>
              </w:rPr>
              <w:t>The professional employee may be represented by a person of the employee’s choice.</w:t>
            </w:r>
          </w:p>
          <w:p w:rsidR="00D92EB4" w:rsidRDefault="002676AF">
            <w:pPr>
              <w:numPr>
                <w:ilvl w:val="0"/>
                <w:numId w:val="3"/>
              </w:numPr>
              <w:pBdr>
                <w:top w:val="nil"/>
                <w:left w:val="nil"/>
                <w:bottom w:val="nil"/>
                <w:right w:val="nil"/>
                <w:between w:val="nil"/>
              </w:pBdr>
              <w:spacing w:before="120" w:after="120"/>
              <w:ind w:left="720"/>
              <w:rPr>
                <w:sz w:val="24"/>
                <w:szCs w:val="24"/>
              </w:rPr>
            </w:pPr>
            <w:r>
              <w:rPr>
                <w:color w:val="000000"/>
                <w:sz w:val="24"/>
                <w:szCs w:val="24"/>
              </w:rPr>
              <w:t>The school officials and the employee may make short opening statements.</w:t>
            </w:r>
          </w:p>
          <w:p w:rsidR="00D92EB4" w:rsidRDefault="002676AF">
            <w:pPr>
              <w:numPr>
                <w:ilvl w:val="0"/>
                <w:numId w:val="3"/>
              </w:numPr>
              <w:pBdr>
                <w:top w:val="nil"/>
                <w:left w:val="nil"/>
                <w:bottom w:val="nil"/>
                <w:right w:val="nil"/>
                <w:between w:val="nil"/>
              </w:pBdr>
              <w:spacing w:before="120" w:after="120"/>
              <w:ind w:left="720"/>
              <w:rPr>
                <w:sz w:val="24"/>
                <w:szCs w:val="24"/>
              </w:rPr>
            </w:pPr>
            <w:r>
              <w:rPr>
                <w:color w:val="000000"/>
                <w:sz w:val="24"/>
                <w:szCs w:val="24"/>
              </w:rPr>
              <w:t xml:space="preserve">The school officials shall present their evidence in oral </w:t>
            </w:r>
            <w:r>
              <w:rPr>
                <w:color w:val="000000"/>
                <w:sz w:val="24"/>
                <w:szCs w:val="24"/>
              </w:rPr>
              <w:t>or written form.</w:t>
            </w:r>
          </w:p>
          <w:p w:rsidR="00D92EB4" w:rsidRDefault="002676AF">
            <w:pPr>
              <w:numPr>
                <w:ilvl w:val="0"/>
                <w:numId w:val="3"/>
              </w:numPr>
              <w:pBdr>
                <w:top w:val="nil"/>
                <w:left w:val="nil"/>
                <w:bottom w:val="nil"/>
                <w:right w:val="nil"/>
                <w:between w:val="nil"/>
              </w:pBdr>
              <w:spacing w:before="120" w:after="120"/>
              <w:ind w:left="720"/>
              <w:rPr>
                <w:sz w:val="24"/>
                <w:szCs w:val="24"/>
              </w:rPr>
            </w:pPr>
            <w:r>
              <w:rPr>
                <w:color w:val="000000"/>
                <w:sz w:val="24"/>
                <w:szCs w:val="24"/>
              </w:rPr>
              <w:t>After the school officials conclude their evidentiary presentation, the employee may present evidence to refute the charges orally or in writing.</w:t>
            </w:r>
          </w:p>
          <w:p w:rsidR="00D92EB4" w:rsidRDefault="002676AF">
            <w:pPr>
              <w:numPr>
                <w:ilvl w:val="0"/>
                <w:numId w:val="3"/>
              </w:numPr>
              <w:pBdr>
                <w:top w:val="nil"/>
                <w:left w:val="nil"/>
                <w:bottom w:val="nil"/>
                <w:right w:val="nil"/>
                <w:between w:val="nil"/>
              </w:pBdr>
              <w:spacing w:before="120" w:after="120"/>
              <w:ind w:left="720"/>
              <w:rPr>
                <w:sz w:val="24"/>
                <w:szCs w:val="24"/>
              </w:rPr>
            </w:pPr>
            <w:r>
              <w:rPr>
                <w:color w:val="000000"/>
                <w:sz w:val="24"/>
                <w:szCs w:val="24"/>
              </w:rPr>
              <w:t>Each party shall be afforded an opportunity to cross-examine all witnesses who testify and to</w:t>
            </w:r>
            <w:r>
              <w:rPr>
                <w:color w:val="000000"/>
                <w:sz w:val="24"/>
                <w:szCs w:val="24"/>
              </w:rPr>
              <w:t xml:space="preserve"> examine all written evidence presented.</w:t>
            </w:r>
          </w:p>
          <w:p w:rsidR="00D92EB4" w:rsidRDefault="002676AF">
            <w:pPr>
              <w:numPr>
                <w:ilvl w:val="0"/>
                <w:numId w:val="3"/>
              </w:numPr>
              <w:pBdr>
                <w:top w:val="nil"/>
                <w:left w:val="nil"/>
                <w:bottom w:val="nil"/>
                <w:right w:val="nil"/>
                <w:between w:val="nil"/>
              </w:pBdr>
              <w:spacing w:before="120" w:after="120"/>
              <w:ind w:left="720"/>
              <w:rPr>
                <w:sz w:val="24"/>
                <w:szCs w:val="24"/>
              </w:rPr>
            </w:pPr>
            <w:r>
              <w:rPr>
                <w:color w:val="000000"/>
                <w:sz w:val="24"/>
                <w:szCs w:val="24"/>
              </w:rPr>
              <w:t xml:space="preserve">The Board may receive all relevant oral and written evidence without regard to the legal rules of evidence, but shall consider the weight of the evidence in making </w:t>
            </w:r>
            <w:r>
              <w:rPr>
                <w:color w:val="000000"/>
                <w:sz w:val="24"/>
                <w:szCs w:val="24"/>
              </w:rPr>
              <w:lastRenderedPageBreak/>
              <w:t>a determination.</w:t>
            </w:r>
          </w:p>
          <w:p w:rsidR="00D92EB4" w:rsidRDefault="002676AF">
            <w:pPr>
              <w:numPr>
                <w:ilvl w:val="0"/>
                <w:numId w:val="3"/>
              </w:numPr>
              <w:pBdr>
                <w:top w:val="nil"/>
                <w:left w:val="nil"/>
                <w:bottom w:val="nil"/>
                <w:right w:val="nil"/>
                <w:between w:val="nil"/>
              </w:pBdr>
              <w:spacing w:before="120" w:after="120"/>
              <w:ind w:left="720"/>
              <w:rPr>
                <w:sz w:val="24"/>
                <w:szCs w:val="24"/>
              </w:rPr>
            </w:pPr>
            <w:r>
              <w:rPr>
                <w:color w:val="000000"/>
                <w:sz w:val="24"/>
                <w:szCs w:val="24"/>
              </w:rPr>
              <w:t xml:space="preserve">The school officials and the </w:t>
            </w:r>
            <w:r>
              <w:rPr>
                <w:color w:val="000000"/>
                <w:sz w:val="24"/>
                <w:szCs w:val="24"/>
              </w:rPr>
              <w:t>employee may make closing statements at the conclusion of the hearing.</w:t>
            </w:r>
          </w:p>
          <w:p w:rsidR="00D92EB4" w:rsidRDefault="002676AF">
            <w:pPr>
              <w:numPr>
                <w:ilvl w:val="0"/>
                <w:numId w:val="3"/>
              </w:numPr>
              <w:pBdr>
                <w:top w:val="nil"/>
                <w:left w:val="nil"/>
                <w:bottom w:val="nil"/>
                <w:right w:val="nil"/>
                <w:between w:val="nil"/>
              </w:pBdr>
              <w:spacing w:before="120" w:after="120"/>
              <w:ind w:left="720"/>
              <w:rPr>
                <w:sz w:val="24"/>
                <w:szCs w:val="24"/>
              </w:rPr>
            </w:pPr>
            <w:r>
              <w:rPr>
                <w:color w:val="000000"/>
                <w:sz w:val="24"/>
                <w:szCs w:val="24"/>
              </w:rPr>
              <w:t xml:space="preserve">The hearing may be recorded </w:t>
            </w:r>
            <w:proofErr w:type="spellStart"/>
            <w:r>
              <w:rPr>
                <w:color w:val="000000"/>
                <w:sz w:val="24"/>
                <w:szCs w:val="24"/>
              </w:rPr>
              <w:t>stenographically</w:t>
            </w:r>
            <w:proofErr w:type="spellEnd"/>
            <w:r>
              <w:rPr>
                <w:color w:val="000000"/>
                <w:sz w:val="24"/>
                <w:szCs w:val="24"/>
              </w:rPr>
              <w:t>, electronically, or by tape at the direction of either party at its own expense.  If either party makes a recording, the other party shall b</w:t>
            </w:r>
            <w:r>
              <w:rPr>
                <w:color w:val="000000"/>
                <w:sz w:val="24"/>
                <w:szCs w:val="24"/>
              </w:rPr>
              <w:t>e offered an opportunity to purchase a copy of the transcript or to reproduce the electronic/tape recording.</w:t>
            </w:r>
          </w:p>
          <w:p w:rsidR="00D92EB4" w:rsidRDefault="002676AF">
            <w:pPr>
              <w:numPr>
                <w:ilvl w:val="0"/>
                <w:numId w:val="2"/>
              </w:numPr>
              <w:pBdr>
                <w:top w:val="nil"/>
                <w:left w:val="nil"/>
                <w:bottom w:val="nil"/>
                <w:right w:val="nil"/>
                <w:between w:val="nil"/>
              </w:pBdr>
              <w:spacing w:before="60" w:after="60"/>
              <w:ind w:left="360"/>
              <w:rPr>
                <w:sz w:val="24"/>
                <w:szCs w:val="24"/>
              </w:rPr>
            </w:pPr>
            <w:r>
              <w:rPr>
                <w:color w:val="000000"/>
                <w:sz w:val="24"/>
                <w:szCs w:val="24"/>
              </w:rPr>
              <w:t>Appoint a hearing officer, if desired.</w:t>
            </w:r>
          </w:p>
        </w:tc>
      </w:tr>
      <w:tr w:rsidR="00D92EB4">
        <w:tc>
          <w:tcPr>
            <w:tcW w:w="2610" w:type="dxa"/>
            <w:tcBorders>
              <w:top w:val="single" w:sz="6" w:space="0" w:color="000000"/>
              <w:left w:val="single" w:sz="6" w:space="0" w:color="000000"/>
              <w:bottom w:val="single" w:sz="6" w:space="0" w:color="000000"/>
              <w:right w:val="single" w:sz="6" w:space="0" w:color="000000"/>
            </w:tcBorders>
          </w:tcPr>
          <w:p w:rsidR="00D92EB4" w:rsidRDefault="002676AF">
            <w:pPr>
              <w:pBdr>
                <w:top w:val="nil"/>
                <w:left w:val="nil"/>
                <w:bottom w:val="nil"/>
                <w:right w:val="nil"/>
                <w:between w:val="nil"/>
              </w:pBdr>
              <w:spacing w:before="60" w:after="60"/>
              <w:rPr>
                <w:color w:val="000000"/>
                <w:sz w:val="24"/>
                <w:szCs w:val="24"/>
              </w:rPr>
            </w:pPr>
            <w:r>
              <w:rPr>
                <w:color w:val="000000"/>
                <w:sz w:val="24"/>
                <w:szCs w:val="24"/>
              </w:rPr>
              <w:lastRenderedPageBreak/>
              <w:t>School Board or Hearing Officer</w:t>
            </w:r>
          </w:p>
        </w:tc>
        <w:tc>
          <w:tcPr>
            <w:tcW w:w="6390" w:type="dxa"/>
            <w:tcBorders>
              <w:top w:val="single" w:sz="6" w:space="0" w:color="000000"/>
              <w:left w:val="single" w:sz="6" w:space="0" w:color="000000"/>
              <w:bottom w:val="single" w:sz="6" w:space="0" w:color="000000"/>
              <w:right w:val="single" w:sz="6" w:space="0" w:color="000000"/>
            </w:tcBorders>
          </w:tcPr>
          <w:p w:rsidR="00D92EB4" w:rsidRDefault="002676AF">
            <w:pPr>
              <w:pBdr>
                <w:top w:val="nil"/>
                <w:left w:val="nil"/>
                <w:bottom w:val="nil"/>
                <w:right w:val="nil"/>
                <w:between w:val="nil"/>
              </w:pBdr>
              <w:spacing w:before="60" w:after="60"/>
              <w:rPr>
                <w:color w:val="000000"/>
                <w:sz w:val="24"/>
                <w:szCs w:val="24"/>
              </w:rPr>
            </w:pPr>
            <w:r>
              <w:rPr>
                <w:color w:val="000000"/>
                <w:sz w:val="24"/>
                <w:szCs w:val="24"/>
              </w:rPr>
              <w:t>Conduct the hearing.</w:t>
            </w:r>
          </w:p>
          <w:p w:rsidR="00D92EB4" w:rsidRDefault="002676AF">
            <w:pPr>
              <w:pBdr>
                <w:top w:val="nil"/>
                <w:left w:val="nil"/>
                <w:bottom w:val="nil"/>
                <w:right w:val="nil"/>
                <w:between w:val="nil"/>
              </w:pBdr>
              <w:spacing w:before="60" w:after="60"/>
              <w:rPr>
                <w:color w:val="000000"/>
                <w:sz w:val="24"/>
                <w:szCs w:val="24"/>
              </w:rPr>
            </w:pPr>
            <w:r>
              <w:rPr>
                <w:color w:val="000000"/>
                <w:sz w:val="24"/>
                <w:szCs w:val="24"/>
              </w:rPr>
              <w:t xml:space="preserve">The hearing officer, if one was used, shall prepare a </w:t>
            </w:r>
            <w:r>
              <w:rPr>
                <w:color w:val="000000"/>
                <w:sz w:val="24"/>
                <w:szCs w:val="24"/>
              </w:rPr>
              <w:t>written summary of the evidence for the Board and, if requested, a written recommendation.</w:t>
            </w:r>
          </w:p>
        </w:tc>
      </w:tr>
      <w:tr w:rsidR="00D92EB4">
        <w:tc>
          <w:tcPr>
            <w:tcW w:w="2610" w:type="dxa"/>
            <w:tcBorders>
              <w:top w:val="single" w:sz="6" w:space="0" w:color="000000"/>
              <w:left w:val="single" w:sz="6" w:space="0" w:color="000000"/>
              <w:bottom w:val="single" w:sz="6" w:space="0" w:color="000000"/>
              <w:right w:val="single" w:sz="6" w:space="0" w:color="000000"/>
            </w:tcBorders>
          </w:tcPr>
          <w:p w:rsidR="00D92EB4" w:rsidRDefault="002676AF">
            <w:pPr>
              <w:pBdr>
                <w:top w:val="nil"/>
                <w:left w:val="nil"/>
                <w:bottom w:val="nil"/>
                <w:right w:val="nil"/>
                <w:between w:val="nil"/>
              </w:pBdr>
              <w:spacing w:before="60" w:after="60"/>
              <w:rPr>
                <w:color w:val="000000"/>
                <w:sz w:val="24"/>
                <w:szCs w:val="24"/>
              </w:rPr>
            </w:pPr>
            <w:r>
              <w:rPr>
                <w:color w:val="000000"/>
                <w:sz w:val="24"/>
                <w:szCs w:val="24"/>
              </w:rPr>
              <w:t>School Board</w:t>
            </w:r>
          </w:p>
        </w:tc>
        <w:tc>
          <w:tcPr>
            <w:tcW w:w="6390" w:type="dxa"/>
            <w:tcBorders>
              <w:top w:val="single" w:sz="6" w:space="0" w:color="000000"/>
              <w:left w:val="single" w:sz="6" w:space="0" w:color="000000"/>
              <w:bottom w:val="single" w:sz="6" w:space="0" w:color="000000"/>
              <w:right w:val="single" w:sz="6" w:space="0" w:color="000000"/>
            </w:tcBorders>
          </w:tcPr>
          <w:p w:rsidR="00D92EB4" w:rsidRDefault="002676AF">
            <w:pPr>
              <w:pBdr>
                <w:top w:val="nil"/>
                <w:left w:val="nil"/>
                <w:bottom w:val="nil"/>
                <w:right w:val="nil"/>
                <w:between w:val="nil"/>
              </w:pBdr>
              <w:spacing w:before="60" w:after="60"/>
              <w:rPr>
                <w:color w:val="000000"/>
                <w:sz w:val="24"/>
                <w:szCs w:val="24"/>
              </w:rPr>
            </w:pPr>
            <w:r>
              <w:rPr>
                <w:color w:val="000000"/>
                <w:sz w:val="24"/>
                <w:szCs w:val="24"/>
              </w:rPr>
              <w:t>Decide whether to suspend the professional employee as authorized by 105 ILCS 5/24-12(d)(1). If the Board used a hearing officer and requested a writte</w:t>
            </w:r>
            <w:r>
              <w:rPr>
                <w:color w:val="000000"/>
                <w:sz w:val="24"/>
                <w:szCs w:val="24"/>
              </w:rPr>
              <w:t>n recommendation, the Board may uphold, modify, or reverse the hearing officer’s recommendation. If the teacher is not suspended, his or her personnel record shall be expunged of any notices or material relating to the suspension.</w:t>
            </w:r>
          </w:p>
          <w:p w:rsidR="00D92EB4" w:rsidRDefault="002676AF">
            <w:pPr>
              <w:pBdr>
                <w:top w:val="nil"/>
                <w:left w:val="nil"/>
                <w:bottom w:val="nil"/>
                <w:right w:val="nil"/>
                <w:between w:val="nil"/>
              </w:pBdr>
              <w:spacing w:before="60" w:after="60"/>
              <w:rPr>
                <w:color w:val="000000"/>
                <w:sz w:val="24"/>
                <w:szCs w:val="24"/>
              </w:rPr>
            </w:pPr>
            <w:r>
              <w:rPr>
                <w:color w:val="000000"/>
                <w:sz w:val="24"/>
                <w:szCs w:val="24"/>
              </w:rPr>
              <w:t>If the Board’s suspension</w:t>
            </w:r>
            <w:r>
              <w:rPr>
                <w:color w:val="000000"/>
                <w:sz w:val="24"/>
                <w:szCs w:val="24"/>
              </w:rPr>
              <w:t xml:space="preserve"> is not sustained following review by a trial court: (1) ensure that the professional employee does not suffer the loss of any salary or benefits by reason of the suspension, and (2) assign the professional employee to a position substantially similar to t</w:t>
            </w:r>
            <w:r>
              <w:rPr>
                <w:color w:val="000000"/>
                <w:sz w:val="24"/>
                <w:szCs w:val="24"/>
              </w:rPr>
              <w:t>he one that the employee held prior to the suspension. 105 ILCS 5/24-12(d)(10).</w:t>
            </w:r>
          </w:p>
        </w:tc>
      </w:tr>
    </w:tbl>
    <w:p w:rsidR="00D92EB4" w:rsidRDefault="002676AF">
      <w:pPr>
        <w:keepNext/>
        <w:pBdr>
          <w:top w:val="nil"/>
          <w:left w:val="nil"/>
          <w:bottom w:val="nil"/>
          <w:right w:val="nil"/>
          <w:between w:val="nil"/>
        </w:pBdr>
        <w:spacing w:before="240" w:after="240"/>
        <w:rPr>
          <w:color w:val="000000"/>
          <w:u w:val="single"/>
        </w:rPr>
      </w:pPr>
      <w:proofErr w:type="spellStart"/>
      <w:r>
        <w:rPr>
          <w:rFonts w:ascii="ZWAdobeF" w:eastAsia="ZWAdobeF" w:hAnsi="ZWAdobeF" w:cs="ZWAdobeF"/>
          <w:color w:val="000000"/>
        </w:rPr>
        <w:t>U</w:t>
      </w:r>
      <w:r>
        <w:rPr>
          <w:color w:val="000000"/>
          <w:u w:val="single"/>
        </w:rPr>
        <w:t>Suspension</w:t>
      </w:r>
      <w:proofErr w:type="spellEnd"/>
      <w:r>
        <w:rPr>
          <w:color w:val="000000"/>
          <w:u w:val="single"/>
        </w:rPr>
        <w:t xml:space="preserve"> </w:t>
      </w:r>
      <w:proofErr w:type="gramStart"/>
      <w:r>
        <w:rPr>
          <w:color w:val="000000"/>
          <w:u w:val="single"/>
        </w:rPr>
        <w:t>With</w:t>
      </w:r>
      <w:proofErr w:type="gramEnd"/>
      <w:r>
        <w:rPr>
          <w:color w:val="000000"/>
          <w:u w:val="single"/>
        </w:rPr>
        <w:t xml:space="preserve"> Pay</w:t>
      </w:r>
    </w:p>
    <w:tbl>
      <w:tblPr>
        <w:tblStyle w:val="Table13"/>
        <w:tblW w:w="900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610"/>
        <w:gridCol w:w="6390"/>
      </w:tblGrid>
      <w:tr w:rsidR="00D92EB4">
        <w:tc>
          <w:tcPr>
            <w:tcW w:w="2610" w:type="dxa"/>
            <w:tcBorders>
              <w:top w:val="single" w:sz="6" w:space="0" w:color="000000"/>
              <w:left w:val="single" w:sz="6" w:space="0" w:color="000000"/>
              <w:bottom w:val="single" w:sz="6" w:space="0" w:color="000000"/>
              <w:right w:val="single" w:sz="6" w:space="0" w:color="000000"/>
            </w:tcBorders>
          </w:tcPr>
          <w:p w:rsidR="00D92EB4" w:rsidRDefault="002676AF">
            <w:pPr>
              <w:pBdr>
                <w:top w:val="nil"/>
                <w:left w:val="nil"/>
                <w:bottom w:val="nil"/>
                <w:right w:val="nil"/>
                <w:between w:val="nil"/>
              </w:pBdr>
              <w:spacing w:before="60" w:after="60"/>
              <w:jc w:val="center"/>
              <w:rPr>
                <w:b/>
                <w:color w:val="000000"/>
                <w:sz w:val="24"/>
                <w:szCs w:val="24"/>
              </w:rPr>
            </w:pPr>
            <w:r>
              <w:rPr>
                <w:b/>
                <w:color w:val="000000"/>
                <w:sz w:val="24"/>
                <w:szCs w:val="24"/>
              </w:rPr>
              <w:t>Actor</w:t>
            </w:r>
          </w:p>
        </w:tc>
        <w:tc>
          <w:tcPr>
            <w:tcW w:w="6390" w:type="dxa"/>
            <w:tcBorders>
              <w:top w:val="single" w:sz="6" w:space="0" w:color="000000"/>
              <w:left w:val="single" w:sz="6" w:space="0" w:color="000000"/>
              <w:bottom w:val="single" w:sz="6" w:space="0" w:color="000000"/>
              <w:right w:val="single" w:sz="6" w:space="0" w:color="000000"/>
            </w:tcBorders>
          </w:tcPr>
          <w:p w:rsidR="00D92EB4" w:rsidRDefault="002676AF">
            <w:pPr>
              <w:pBdr>
                <w:top w:val="nil"/>
                <w:left w:val="nil"/>
                <w:bottom w:val="nil"/>
                <w:right w:val="nil"/>
                <w:between w:val="nil"/>
              </w:pBdr>
              <w:spacing w:before="60" w:after="60"/>
              <w:jc w:val="center"/>
              <w:rPr>
                <w:b/>
                <w:color w:val="000000"/>
                <w:sz w:val="24"/>
                <w:szCs w:val="24"/>
              </w:rPr>
            </w:pPr>
            <w:r>
              <w:rPr>
                <w:b/>
                <w:color w:val="000000"/>
                <w:sz w:val="24"/>
                <w:szCs w:val="24"/>
              </w:rPr>
              <w:t>Action</w:t>
            </w:r>
          </w:p>
        </w:tc>
      </w:tr>
      <w:tr w:rsidR="00D92EB4">
        <w:tc>
          <w:tcPr>
            <w:tcW w:w="2610" w:type="dxa"/>
            <w:tcBorders>
              <w:top w:val="single" w:sz="6" w:space="0" w:color="000000"/>
              <w:left w:val="single" w:sz="6" w:space="0" w:color="000000"/>
              <w:bottom w:val="single" w:sz="6" w:space="0" w:color="000000"/>
              <w:right w:val="single" w:sz="6" w:space="0" w:color="000000"/>
            </w:tcBorders>
          </w:tcPr>
          <w:p w:rsidR="00D92EB4" w:rsidRDefault="002676AF">
            <w:pPr>
              <w:pBdr>
                <w:top w:val="nil"/>
                <w:left w:val="nil"/>
                <w:bottom w:val="nil"/>
                <w:right w:val="nil"/>
                <w:between w:val="nil"/>
              </w:pBdr>
              <w:spacing w:before="60" w:after="60"/>
              <w:rPr>
                <w:color w:val="000000"/>
                <w:sz w:val="24"/>
                <w:szCs w:val="24"/>
              </w:rPr>
            </w:pPr>
            <w:r>
              <w:rPr>
                <w:color w:val="000000"/>
                <w:sz w:val="24"/>
                <w:szCs w:val="24"/>
              </w:rPr>
              <w:t>Superintendent or designee</w:t>
            </w:r>
          </w:p>
        </w:tc>
        <w:tc>
          <w:tcPr>
            <w:tcW w:w="6390" w:type="dxa"/>
            <w:tcBorders>
              <w:top w:val="single" w:sz="6" w:space="0" w:color="000000"/>
              <w:left w:val="single" w:sz="6" w:space="0" w:color="000000"/>
              <w:bottom w:val="single" w:sz="6" w:space="0" w:color="000000"/>
              <w:right w:val="single" w:sz="6" w:space="0" w:color="000000"/>
            </w:tcBorders>
          </w:tcPr>
          <w:p w:rsidR="00D92EB4" w:rsidRDefault="002676AF">
            <w:pPr>
              <w:numPr>
                <w:ilvl w:val="0"/>
                <w:numId w:val="4"/>
              </w:numPr>
              <w:pBdr>
                <w:top w:val="nil"/>
                <w:left w:val="nil"/>
                <w:bottom w:val="nil"/>
                <w:right w:val="nil"/>
                <w:between w:val="nil"/>
              </w:pBdr>
              <w:spacing w:before="60" w:after="60"/>
              <w:rPr>
                <w:sz w:val="24"/>
                <w:szCs w:val="24"/>
              </w:rPr>
            </w:pPr>
            <w:r>
              <w:rPr>
                <w:color w:val="000000"/>
                <w:sz w:val="24"/>
                <w:szCs w:val="24"/>
              </w:rPr>
              <w:t>Inform the professional employee of a proposed suspension with pay by written or oral notice, which shall specify the reasons for the suspension. If the notice is oral, give written notice as soon as reasonable.</w:t>
            </w:r>
          </w:p>
          <w:p w:rsidR="00D92EB4" w:rsidRDefault="002676AF">
            <w:pPr>
              <w:numPr>
                <w:ilvl w:val="0"/>
                <w:numId w:val="4"/>
              </w:numPr>
              <w:pBdr>
                <w:top w:val="nil"/>
                <w:left w:val="nil"/>
                <w:bottom w:val="nil"/>
                <w:right w:val="nil"/>
                <w:between w:val="nil"/>
              </w:pBdr>
              <w:spacing w:before="60" w:after="60"/>
              <w:rPr>
                <w:sz w:val="24"/>
                <w:szCs w:val="24"/>
              </w:rPr>
            </w:pPr>
            <w:r>
              <w:rPr>
                <w:color w:val="000000"/>
                <w:sz w:val="24"/>
                <w:szCs w:val="24"/>
              </w:rPr>
              <w:t>Meet with the employee before the proposed s</w:t>
            </w:r>
            <w:r>
              <w:rPr>
                <w:color w:val="000000"/>
                <w:sz w:val="24"/>
                <w:szCs w:val="24"/>
              </w:rPr>
              <w:t>uspension to discuss the reasons for the suspension. If the Superintendent or designee cannot, for reasonable cause, meet with the employee before the suspension, the Superintendent or designee shall attempt such a meeting after the suspension begins.</w:t>
            </w:r>
          </w:p>
          <w:p w:rsidR="00D92EB4" w:rsidRDefault="002676AF">
            <w:pPr>
              <w:numPr>
                <w:ilvl w:val="0"/>
                <w:numId w:val="4"/>
              </w:numPr>
              <w:pBdr>
                <w:top w:val="nil"/>
                <w:left w:val="nil"/>
                <w:bottom w:val="nil"/>
                <w:right w:val="nil"/>
                <w:between w:val="nil"/>
              </w:pBdr>
              <w:spacing w:before="60" w:after="60"/>
              <w:rPr>
                <w:sz w:val="24"/>
                <w:szCs w:val="24"/>
              </w:rPr>
            </w:pPr>
            <w:r>
              <w:rPr>
                <w:color w:val="000000"/>
                <w:sz w:val="24"/>
                <w:szCs w:val="24"/>
              </w:rPr>
              <w:t>Give</w:t>
            </w:r>
            <w:r>
              <w:rPr>
                <w:color w:val="000000"/>
                <w:sz w:val="24"/>
                <w:szCs w:val="24"/>
              </w:rPr>
              <w:t xml:space="preserve"> the professional employee written confirmation of the </w:t>
            </w:r>
            <w:r>
              <w:rPr>
                <w:color w:val="000000"/>
                <w:sz w:val="24"/>
                <w:szCs w:val="24"/>
              </w:rPr>
              <w:lastRenderedPageBreak/>
              <w:t>suspension as soon as reasonably possible.</w:t>
            </w:r>
          </w:p>
          <w:p w:rsidR="00D92EB4" w:rsidRDefault="002676AF">
            <w:pPr>
              <w:pBdr>
                <w:top w:val="nil"/>
                <w:left w:val="nil"/>
                <w:bottom w:val="nil"/>
                <w:right w:val="nil"/>
                <w:between w:val="nil"/>
              </w:pBdr>
              <w:spacing w:before="60" w:after="60"/>
              <w:rPr>
                <w:color w:val="000000"/>
                <w:sz w:val="24"/>
                <w:szCs w:val="24"/>
              </w:rPr>
            </w:pPr>
            <w:r>
              <w:rPr>
                <w:color w:val="000000"/>
                <w:sz w:val="24"/>
                <w:szCs w:val="24"/>
              </w:rPr>
              <w:t>Contact the Board Attorney for advice and assistance.</w:t>
            </w:r>
          </w:p>
        </w:tc>
      </w:tr>
    </w:tbl>
    <w:p w:rsidR="00D92EB4" w:rsidRDefault="00D92EB4" w:rsidP="00721043">
      <w:pPr>
        <w:keepNext/>
        <w:keepLines/>
        <w:pBdr>
          <w:top w:val="nil"/>
          <w:left w:val="nil"/>
          <w:bottom w:val="nil"/>
          <w:right w:val="nil"/>
          <w:between w:val="nil"/>
        </w:pBdr>
        <w:tabs>
          <w:tab w:val="left" w:pos="1800"/>
        </w:tabs>
        <w:spacing w:before="240"/>
        <w:ind w:left="1800" w:hanging="1800"/>
        <w:rPr>
          <w:color w:val="000000"/>
        </w:rPr>
      </w:pPr>
    </w:p>
    <w:sectPr w:rsidR="00D92EB4" w:rsidSect="00721043">
      <w:footerReference w:type="default" r:id="rId7"/>
      <w:pgSz w:w="12240" w:h="15840"/>
      <w:pgMar w:top="1440" w:right="1080" w:bottom="1440" w:left="1440"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6AF" w:rsidRDefault="002676AF" w:rsidP="00D92EB4">
      <w:r>
        <w:separator/>
      </w:r>
    </w:p>
  </w:endnote>
  <w:endnote w:type="continuationSeparator" w:id="0">
    <w:p w:rsidR="002676AF" w:rsidRDefault="002676AF" w:rsidP="00D92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043" w:rsidRDefault="00721043">
    <w:pPr>
      <w:pStyle w:val="Footer"/>
      <w:jc w:val="right"/>
    </w:pPr>
    <w:r>
      <w:t xml:space="preserve">Page </w:t>
    </w:r>
    <w:sdt>
      <w:sdtPr>
        <w:id w:val="363128032"/>
        <w:docPartObj>
          <w:docPartGallery w:val="Page Numbers (Bottom of Page)"/>
          <w:docPartUnique/>
        </w:docPartObj>
      </w:sdtPr>
      <w:sdtContent>
        <w:fldSimple w:instr=" PAGE   \* MERGEFORMAT ">
          <w:r>
            <w:rPr>
              <w:noProof/>
            </w:rPr>
            <w:t>3</w:t>
          </w:r>
        </w:fldSimple>
        <w:r>
          <w:t>of 3</w:t>
        </w:r>
      </w:sdtContent>
    </w:sdt>
  </w:p>
  <w:p w:rsidR="00D92EB4" w:rsidRDefault="00721043">
    <w:pPr>
      <w:pBdr>
        <w:top w:val="nil"/>
        <w:left w:val="nil"/>
        <w:bottom w:val="nil"/>
        <w:right w:val="nil"/>
        <w:between w:val="nil"/>
      </w:pBdr>
      <w:tabs>
        <w:tab w:val="center" w:pos="4320"/>
        <w:tab w:val="right" w:pos="8640"/>
        <w:tab w:val="right" w:pos="9000"/>
      </w:tabs>
      <w:rPr>
        <w:color w:val="000000"/>
      </w:rPr>
    </w:pPr>
    <w:r>
      <w:rPr>
        <w:color w:val="000000"/>
      </w:rPr>
      <w:t>5:240-AP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6AF" w:rsidRDefault="002676AF" w:rsidP="00D92EB4">
      <w:r>
        <w:separator/>
      </w:r>
    </w:p>
  </w:footnote>
  <w:footnote w:type="continuationSeparator" w:id="0">
    <w:p w:rsidR="002676AF" w:rsidRDefault="002676AF" w:rsidP="00D92E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8505"/>
    <w:multiLevelType w:val="hybridMultilevel"/>
    <w:tmpl w:val="00000000"/>
    <w:lvl w:ilvl="0" w:tplc="40849532">
      <w:start w:val="1"/>
      <w:numFmt w:val="decimal"/>
      <w:lvlText w:val="%1."/>
      <w:lvlJc w:val="left"/>
      <w:pPr>
        <w:ind w:left="360" w:hanging="360"/>
      </w:pPr>
    </w:lvl>
    <w:lvl w:ilvl="1" w:tplc="0C9AE87E">
      <w:start w:val="1"/>
      <w:numFmt w:val="bullet"/>
      <w:lvlText w:val=""/>
      <w:lvlJc w:val="left"/>
      <w:pPr>
        <w:ind w:left="0" w:firstLine="0"/>
      </w:pPr>
    </w:lvl>
    <w:lvl w:ilvl="2" w:tplc="E7868048">
      <w:start w:val="1"/>
      <w:numFmt w:val="bullet"/>
      <w:lvlText w:val=""/>
      <w:lvlJc w:val="left"/>
      <w:pPr>
        <w:ind w:left="0" w:firstLine="0"/>
      </w:pPr>
    </w:lvl>
    <w:lvl w:ilvl="3" w:tplc="D5163884">
      <w:start w:val="1"/>
      <w:numFmt w:val="bullet"/>
      <w:lvlText w:val=""/>
      <w:lvlJc w:val="left"/>
      <w:pPr>
        <w:ind w:left="0" w:firstLine="0"/>
      </w:pPr>
    </w:lvl>
    <w:lvl w:ilvl="4" w:tplc="960A6E78">
      <w:start w:val="1"/>
      <w:numFmt w:val="bullet"/>
      <w:lvlText w:val=""/>
      <w:lvlJc w:val="left"/>
      <w:pPr>
        <w:ind w:left="0" w:firstLine="0"/>
      </w:pPr>
    </w:lvl>
    <w:lvl w:ilvl="5" w:tplc="7F2409F8">
      <w:start w:val="1"/>
      <w:numFmt w:val="bullet"/>
      <w:lvlText w:val=""/>
      <w:lvlJc w:val="left"/>
      <w:pPr>
        <w:ind w:left="0" w:firstLine="0"/>
      </w:pPr>
    </w:lvl>
    <w:lvl w:ilvl="6" w:tplc="BF745C68">
      <w:start w:val="1"/>
      <w:numFmt w:val="bullet"/>
      <w:lvlText w:val=""/>
      <w:lvlJc w:val="left"/>
      <w:pPr>
        <w:ind w:left="0" w:firstLine="0"/>
      </w:pPr>
    </w:lvl>
    <w:lvl w:ilvl="7" w:tplc="666E1EF4">
      <w:start w:val="1"/>
      <w:numFmt w:val="bullet"/>
      <w:lvlText w:val=""/>
      <w:lvlJc w:val="left"/>
      <w:pPr>
        <w:ind w:left="0" w:firstLine="0"/>
      </w:pPr>
    </w:lvl>
    <w:lvl w:ilvl="8" w:tplc="F94ED45E">
      <w:start w:val="1"/>
      <w:numFmt w:val="bullet"/>
      <w:lvlText w:val=""/>
      <w:lvlJc w:val="left"/>
      <w:pPr>
        <w:ind w:left="0" w:firstLine="0"/>
      </w:pPr>
    </w:lvl>
  </w:abstractNum>
  <w:abstractNum w:abstractNumId="1">
    <w:nsid w:val="18318E7C"/>
    <w:multiLevelType w:val="hybridMultilevel"/>
    <w:tmpl w:val="00000000"/>
    <w:lvl w:ilvl="0" w:tplc="8B1880E0">
      <w:start w:val="1"/>
      <w:numFmt w:val="decimal"/>
      <w:lvlText w:val="%1."/>
      <w:lvlJc w:val="left"/>
      <w:pPr>
        <w:ind w:left="720" w:hanging="360"/>
      </w:pPr>
    </w:lvl>
    <w:lvl w:ilvl="1" w:tplc="AFDCFB58">
      <w:start w:val="1"/>
      <w:numFmt w:val="bullet"/>
      <w:lvlText w:val=""/>
      <w:lvlJc w:val="left"/>
      <w:pPr>
        <w:ind w:left="0" w:firstLine="0"/>
      </w:pPr>
    </w:lvl>
    <w:lvl w:ilvl="2" w:tplc="F710C852">
      <w:start w:val="1"/>
      <w:numFmt w:val="bullet"/>
      <w:lvlText w:val=""/>
      <w:lvlJc w:val="left"/>
      <w:pPr>
        <w:ind w:left="0" w:firstLine="0"/>
      </w:pPr>
    </w:lvl>
    <w:lvl w:ilvl="3" w:tplc="A6ACBAD2">
      <w:start w:val="1"/>
      <w:numFmt w:val="bullet"/>
      <w:lvlText w:val=""/>
      <w:lvlJc w:val="left"/>
      <w:pPr>
        <w:ind w:left="0" w:firstLine="0"/>
      </w:pPr>
    </w:lvl>
    <w:lvl w:ilvl="4" w:tplc="AAB8D39A">
      <w:start w:val="1"/>
      <w:numFmt w:val="bullet"/>
      <w:lvlText w:val=""/>
      <w:lvlJc w:val="left"/>
      <w:pPr>
        <w:ind w:left="0" w:firstLine="0"/>
      </w:pPr>
    </w:lvl>
    <w:lvl w:ilvl="5" w:tplc="72163ED6">
      <w:start w:val="1"/>
      <w:numFmt w:val="bullet"/>
      <w:lvlText w:val=""/>
      <w:lvlJc w:val="left"/>
      <w:pPr>
        <w:ind w:left="0" w:firstLine="0"/>
      </w:pPr>
    </w:lvl>
    <w:lvl w:ilvl="6" w:tplc="0660D64C">
      <w:start w:val="1"/>
      <w:numFmt w:val="bullet"/>
      <w:lvlText w:val=""/>
      <w:lvlJc w:val="left"/>
      <w:pPr>
        <w:ind w:left="0" w:firstLine="0"/>
      </w:pPr>
    </w:lvl>
    <w:lvl w:ilvl="7" w:tplc="A1D26FF6">
      <w:start w:val="1"/>
      <w:numFmt w:val="bullet"/>
      <w:lvlText w:val=""/>
      <w:lvlJc w:val="left"/>
      <w:pPr>
        <w:ind w:left="0" w:firstLine="0"/>
      </w:pPr>
    </w:lvl>
    <w:lvl w:ilvl="8" w:tplc="BC467BF0">
      <w:start w:val="1"/>
      <w:numFmt w:val="bullet"/>
      <w:lvlText w:val=""/>
      <w:lvlJc w:val="left"/>
      <w:pPr>
        <w:ind w:left="0" w:firstLine="0"/>
      </w:pPr>
    </w:lvl>
  </w:abstractNum>
  <w:abstractNum w:abstractNumId="2">
    <w:nsid w:val="5AF6A619"/>
    <w:multiLevelType w:val="hybridMultilevel"/>
    <w:tmpl w:val="00000000"/>
    <w:lvl w:ilvl="0" w:tplc="7F5A3A48">
      <w:start w:val="1"/>
      <w:numFmt w:val="decimal"/>
      <w:lvlText w:val="%1."/>
      <w:lvlJc w:val="left"/>
      <w:pPr>
        <w:ind w:left="360" w:hanging="360"/>
      </w:pPr>
    </w:lvl>
    <w:lvl w:ilvl="1" w:tplc="390A7D0A">
      <w:start w:val="1"/>
      <w:numFmt w:val="bullet"/>
      <w:lvlText w:val=""/>
      <w:lvlJc w:val="left"/>
      <w:pPr>
        <w:ind w:left="0" w:firstLine="0"/>
      </w:pPr>
    </w:lvl>
    <w:lvl w:ilvl="2" w:tplc="7D7EF1F6">
      <w:start w:val="1"/>
      <w:numFmt w:val="bullet"/>
      <w:lvlText w:val=""/>
      <w:lvlJc w:val="left"/>
      <w:pPr>
        <w:ind w:left="0" w:firstLine="0"/>
      </w:pPr>
    </w:lvl>
    <w:lvl w:ilvl="3" w:tplc="F49822D4">
      <w:start w:val="1"/>
      <w:numFmt w:val="bullet"/>
      <w:lvlText w:val=""/>
      <w:lvlJc w:val="left"/>
      <w:pPr>
        <w:ind w:left="0" w:firstLine="0"/>
      </w:pPr>
    </w:lvl>
    <w:lvl w:ilvl="4" w:tplc="7FD6D0B2">
      <w:start w:val="1"/>
      <w:numFmt w:val="bullet"/>
      <w:lvlText w:val=""/>
      <w:lvlJc w:val="left"/>
      <w:pPr>
        <w:ind w:left="0" w:firstLine="0"/>
      </w:pPr>
    </w:lvl>
    <w:lvl w:ilvl="5" w:tplc="EBE8DCB2">
      <w:start w:val="1"/>
      <w:numFmt w:val="bullet"/>
      <w:lvlText w:val=""/>
      <w:lvlJc w:val="left"/>
      <w:pPr>
        <w:ind w:left="0" w:firstLine="0"/>
      </w:pPr>
    </w:lvl>
    <w:lvl w:ilvl="6" w:tplc="251C00E0">
      <w:start w:val="1"/>
      <w:numFmt w:val="bullet"/>
      <w:lvlText w:val=""/>
      <w:lvlJc w:val="left"/>
      <w:pPr>
        <w:ind w:left="0" w:firstLine="0"/>
      </w:pPr>
    </w:lvl>
    <w:lvl w:ilvl="7" w:tplc="EF844F02">
      <w:start w:val="1"/>
      <w:numFmt w:val="bullet"/>
      <w:lvlText w:val=""/>
      <w:lvlJc w:val="left"/>
      <w:pPr>
        <w:ind w:left="0" w:firstLine="0"/>
      </w:pPr>
    </w:lvl>
    <w:lvl w:ilvl="8" w:tplc="69E02550">
      <w:start w:val="1"/>
      <w:numFmt w:val="bullet"/>
      <w:lvlText w:val=""/>
      <w:lvlJc w:val="left"/>
      <w:pPr>
        <w:ind w:left="0" w:firstLine="0"/>
      </w:pPr>
    </w:lvl>
  </w:abstractNum>
  <w:abstractNum w:abstractNumId="3">
    <w:nsid w:val="6AAF892E"/>
    <w:multiLevelType w:val="hybridMultilevel"/>
    <w:tmpl w:val="00000000"/>
    <w:lvl w:ilvl="0" w:tplc="A4ACDD98">
      <w:start w:val="1"/>
      <w:numFmt w:val="lowerLetter"/>
      <w:lvlText w:val="%1."/>
      <w:lvlJc w:val="left"/>
      <w:pPr>
        <w:ind w:left="1080" w:hanging="360"/>
      </w:pPr>
    </w:lvl>
    <w:lvl w:ilvl="1" w:tplc="BFDA86E4">
      <w:start w:val="1"/>
      <w:numFmt w:val="bullet"/>
      <w:lvlText w:val=""/>
      <w:lvlJc w:val="left"/>
      <w:pPr>
        <w:ind w:left="0" w:firstLine="0"/>
      </w:pPr>
    </w:lvl>
    <w:lvl w:ilvl="2" w:tplc="4AEA5964">
      <w:start w:val="1"/>
      <w:numFmt w:val="bullet"/>
      <w:lvlText w:val=""/>
      <w:lvlJc w:val="left"/>
      <w:pPr>
        <w:ind w:left="0" w:firstLine="0"/>
      </w:pPr>
    </w:lvl>
    <w:lvl w:ilvl="3" w:tplc="BDDE82A8">
      <w:start w:val="1"/>
      <w:numFmt w:val="bullet"/>
      <w:lvlText w:val=""/>
      <w:lvlJc w:val="left"/>
      <w:pPr>
        <w:ind w:left="0" w:firstLine="0"/>
      </w:pPr>
    </w:lvl>
    <w:lvl w:ilvl="4" w:tplc="DFAE9716">
      <w:start w:val="1"/>
      <w:numFmt w:val="bullet"/>
      <w:lvlText w:val=""/>
      <w:lvlJc w:val="left"/>
      <w:pPr>
        <w:ind w:left="0" w:firstLine="0"/>
      </w:pPr>
    </w:lvl>
    <w:lvl w:ilvl="5" w:tplc="98C06EEA">
      <w:start w:val="1"/>
      <w:numFmt w:val="bullet"/>
      <w:lvlText w:val=""/>
      <w:lvlJc w:val="left"/>
      <w:pPr>
        <w:ind w:left="0" w:firstLine="0"/>
      </w:pPr>
    </w:lvl>
    <w:lvl w:ilvl="6" w:tplc="9042D114">
      <w:start w:val="1"/>
      <w:numFmt w:val="bullet"/>
      <w:lvlText w:val=""/>
      <w:lvlJc w:val="left"/>
      <w:pPr>
        <w:ind w:left="0" w:firstLine="0"/>
      </w:pPr>
    </w:lvl>
    <w:lvl w:ilvl="7" w:tplc="AABC6948">
      <w:start w:val="1"/>
      <w:numFmt w:val="bullet"/>
      <w:lvlText w:val=""/>
      <w:lvlJc w:val="left"/>
      <w:pPr>
        <w:ind w:left="0" w:firstLine="0"/>
      </w:pPr>
    </w:lvl>
    <w:lvl w:ilvl="8" w:tplc="63C85DCE">
      <w:start w:val="1"/>
      <w:numFmt w:val="bullet"/>
      <w:lvlText w:val=""/>
      <w:lvlJc w:val="left"/>
      <w:pPr>
        <w:ind w:left="0" w:firstLine="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676AF"/>
    <w:rsid w:val="00721043"/>
    <w:rsid w:val="00A77B3E"/>
    <w:rsid w:val="00CA2A55"/>
    <w:rsid w:val="00D92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E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031B8"/>
    <w:pPr>
      <w:overflowPunct w:val="0"/>
      <w:autoSpaceDE w:val="0"/>
      <w:autoSpaceDN w:val="0"/>
      <w:adjustRightInd w:val="0"/>
      <w:textAlignment w:val="baseline"/>
    </w:pPr>
    <w:rPr>
      <w:kern w:val="28"/>
      <w:sz w:val="22"/>
      <w:szCs w:val="22"/>
    </w:rPr>
  </w:style>
  <w:style w:type="paragraph" w:customStyle="1" w:styleId="Heading10">
    <w:name w:val="Heading 1_0"/>
    <w:basedOn w:val="Normal0"/>
    <w:next w:val="Normal0"/>
    <w:link w:val="Heading1Char"/>
    <w:qFormat/>
    <w:rsid w:val="009031B8"/>
    <w:pPr>
      <w:keepNext/>
      <w:spacing w:before="120" w:after="120"/>
      <w:jc w:val="center"/>
      <w:outlineLvl w:val="0"/>
    </w:pPr>
    <w:rPr>
      <w:rFonts w:ascii="Arial" w:hAnsi="Arial"/>
      <w:b/>
      <w:sz w:val="28"/>
      <w:u w:val="single"/>
    </w:rPr>
  </w:style>
  <w:style w:type="character" w:customStyle="1" w:styleId="Heading1Char">
    <w:name w:val="Heading 1 Char"/>
    <w:link w:val="Heading10"/>
    <w:rsid w:val="002F26FF"/>
    <w:rPr>
      <w:rFonts w:ascii="Arial" w:hAnsi="Arial"/>
      <w:b/>
      <w:kern w:val="28"/>
      <w:sz w:val="28"/>
      <w:szCs w:val="22"/>
      <w:u w:val="single"/>
      <w:lang w:val="en-US"/>
    </w:rPr>
  </w:style>
  <w:style w:type="paragraph" w:customStyle="1" w:styleId="Heading20">
    <w:name w:val="Heading 2_0"/>
    <w:basedOn w:val="Normal0"/>
    <w:next w:val="BodyText"/>
    <w:link w:val="Heading2Char"/>
    <w:qFormat/>
    <w:rsid w:val="009031B8"/>
    <w:pPr>
      <w:keepNext/>
      <w:spacing w:before="120" w:after="120"/>
      <w:outlineLvl w:val="1"/>
    </w:pPr>
    <w:rPr>
      <w:rFonts w:ascii="Arial" w:hAnsi="Arial"/>
      <w:b/>
      <w:u w:val="single"/>
    </w:rPr>
  </w:style>
  <w:style w:type="paragraph" w:styleId="BodyText">
    <w:name w:val="Body Text"/>
    <w:basedOn w:val="Normal0"/>
    <w:link w:val="BodyTextChar"/>
    <w:rsid w:val="009031B8"/>
    <w:pPr>
      <w:spacing w:before="60" w:after="60"/>
      <w:jc w:val="both"/>
    </w:pPr>
  </w:style>
  <w:style w:type="character" w:customStyle="1" w:styleId="BodyTextChar">
    <w:name w:val="Body Text Char"/>
    <w:link w:val="BodyText"/>
    <w:rsid w:val="002F26FF"/>
    <w:rPr>
      <w:kern w:val="28"/>
      <w:sz w:val="22"/>
      <w:szCs w:val="22"/>
      <w:lang w:val="en-US"/>
    </w:rPr>
  </w:style>
  <w:style w:type="character" w:customStyle="1" w:styleId="Heading2Char">
    <w:name w:val="Heading 2 Char"/>
    <w:link w:val="Heading20"/>
    <w:rsid w:val="002F26FF"/>
    <w:rPr>
      <w:rFonts w:ascii="Arial" w:hAnsi="Arial"/>
      <w:b/>
      <w:kern w:val="28"/>
      <w:sz w:val="22"/>
      <w:szCs w:val="22"/>
      <w:u w:val="single"/>
      <w:lang w:val="en-US"/>
    </w:rPr>
  </w:style>
  <w:style w:type="table" w:customStyle="1" w:styleId="TableNormal0">
    <w:name w:val="Table Normal_0"/>
    <w:uiPriority w:val="99"/>
    <w:semiHidden/>
    <w:unhideWhenUsed/>
    <w:qFormat/>
    <w:rsid w:val="00D92EB4"/>
    <w:rPr>
      <w:sz w:val="22"/>
      <w:szCs w:val="22"/>
    </w:rPr>
    <w:tblPr>
      <w:tblInd w:w="0" w:type="dxa"/>
      <w:tblCellMar>
        <w:top w:w="0" w:type="dxa"/>
        <w:left w:w="108" w:type="dxa"/>
        <w:bottom w:w="0" w:type="dxa"/>
        <w:right w:w="108" w:type="dxa"/>
      </w:tblCellMar>
    </w:tblPr>
  </w:style>
  <w:style w:type="table" w:customStyle="1" w:styleId="Table12">
    <w:name w:val="Table12"/>
    <w:basedOn w:val="TableNormal0"/>
    <w:rsid w:val="00D92EB4"/>
    <w:tblPr>
      <w:tblStyleRowBandSize w:val="1"/>
      <w:tblStyleColBandSize w:val="1"/>
      <w:tblInd w:w="0" w:type="dxa"/>
      <w:tblCellMar>
        <w:top w:w="0" w:type="dxa"/>
        <w:left w:w="115" w:type="dxa"/>
        <w:bottom w:w="0" w:type="dxa"/>
        <w:right w:w="115" w:type="dxa"/>
      </w:tblCellMar>
    </w:tblPr>
  </w:style>
  <w:style w:type="table" w:customStyle="1" w:styleId="Table13">
    <w:name w:val="Table13"/>
    <w:basedOn w:val="TableNormal0"/>
    <w:rsid w:val="00D92EB4"/>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rsid w:val="00721043"/>
    <w:pPr>
      <w:tabs>
        <w:tab w:val="center" w:pos="4680"/>
        <w:tab w:val="right" w:pos="9360"/>
      </w:tabs>
    </w:pPr>
  </w:style>
  <w:style w:type="character" w:customStyle="1" w:styleId="HeaderChar">
    <w:name w:val="Header Char"/>
    <w:basedOn w:val="DefaultParagraphFont"/>
    <w:link w:val="Header"/>
    <w:rsid w:val="00721043"/>
    <w:rPr>
      <w:sz w:val="24"/>
      <w:szCs w:val="24"/>
    </w:rPr>
  </w:style>
  <w:style w:type="paragraph" w:styleId="Footer">
    <w:name w:val="footer"/>
    <w:basedOn w:val="Normal"/>
    <w:link w:val="FooterChar"/>
    <w:uiPriority w:val="99"/>
    <w:rsid w:val="00721043"/>
    <w:pPr>
      <w:tabs>
        <w:tab w:val="center" w:pos="4680"/>
        <w:tab w:val="right" w:pos="9360"/>
      </w:tabs>
    </w:pPr>
  </w:style>
  <w:style w:type="character" w:customStyle="1" w:styleId="FooterChar">
    <w:name w:val="Footer Char"/>
    <w:basedOn w:val="DefaultParagraphFont"/>
    <w:link w:val="Footer"/>
    <w:uiPriority w:val="99"/>
    <w:rsid w:val="00721043"/>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Windows User</cp:lastModifiedBy>
  <cp:revision>2</cp:revision>
  <dcterms:created xsi:type="dcterms:W3CDTF">2021-10-05T18:41:00Z</dcterms:created>
  <dcterms:modified xsi:type="dcterms:W3CDTF">2021-10-05T18:41:00Z</dcterms:modified>
</cp:coreProperties>
</file>