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0E3CB" w14:textId="77777777" w:rsidR="00157BAF" w:rsidRDefault="00157BAF" w:rsidP="00157BAF">
      <w:pPr>
        <w:pStyle w:val="Header"/>
        <w:pBdr>
          <w:bottom w:val="single" w:sz="4" w:space="1" w:color="auto"/>
        </w:pBdr>
        <w:tabs>
          <w:tab w:val="clear" w:pos="4320"/>
          <w:tab w:val="clear" w:pos="8640"/>
          <w:tab w:val="right" w:pos="9000"/>
        </w:tabs>
      </w:pPr>
      <w:r>
        <w:t>November 2020</w:t>
      </w:r>
      <w:r>
        <w:tab/>
        <w:t>7:140</w:t>
      </w:r>
    </w:p>
    <w:p w14:paraId="5C7F8A62" w14:textId="77777777" w:rsidR="00157BAF" w:rsidRDefault="00157BAF" w:rsidP="00157BAF">
      <w:pPr>
        <w:tabs>
          <w:tab w:val="right" w:pos="9000"/>
        </w:tabs>
      </w:pPr>
    </w:p>
    <w:p w14:paraId="23ECAED0" w14:textId="77777777" w:rsidR="00157BAF" w:rsidRDefault="00157BAF" w:rsidP="00157BAF">
      <w:pPr>
        <w:pStyle w:val="Heading1"/>
      </w:pPr>
      <w:r>
        <w:t>Students</w:t>
      </w:r>
    </w:p>
    <w:p w14:paraId="49FB39E7" w14:textId="77777777" w:rsidR="00157BAF" w:rsidRDefault="00157BAF" w:rsidP="00157BAF">
      <w:pPr>
        <w:pStyle w:val="Heading2"/>
        <w:rPr>
          <w:spacing w:val="-2"/>
        </w:rPr>
      </w:pPr>
      <w:r>
        <w:t>Search and Seizure</w:t>
      </w:r>
      <w:r>
        <w:rPr>
          <w:b w:val="0"/>
          <w:bCs/>
          <w:u w:val="none"/>
        </w:rPr>
        <w:t xml:space="preserve"> </w:t>
      </w:r>
    </w:p>
    <w:p w14:paraId="45E932AD" w14:textId="77777777" w:rsidR="00157BAF" w:rsidRDefault="00157BAF" w:rsidP="00157BAF">
      <w:pPr>
        <w:pStyle w:val="BodyText"/>
      </w:pPr>
      <w:bookmarkStart w:id="0" w:name="Sec746"/>
      <w:r>
        <w:t>In order to maintain order and security in the schools, school authorities are authorized to conduct reasonable searches of school property and equipment, as well as of students and their personal effects. “School authorities” includes school liaison police officers.</w:t>
      </w:r>
      <w:bookmarkEnd w:id="0"/>
      <w:r>
        <w:t xml:space="preserve"> </w:t>
      </w:r>
    </w:p>
    <w:p w14:paraId="1E49F5EF" w14:textId="77777777" w:rsidR="00157BAF" w:rsidRDefault="00157BAF" w:rsidP="00157BAF">
      <w:pPr>
        <w:pStyle w:val="SUBHEADING"/>
      </w:pPr>
      <w:r>
        <w:t>School Property and Equipment as well as Personal Effects Left There by Students</w:t>
      </w:r>
    </w:p>
    <w:p w14:paraId="166C988F" w14:textId="77777777" w:rsidR="00157BAF" w:rsidRDefault="00157BAF" w:rsidP="00157BAF">
      <w:pPr>
        <w:pStyle w:val="BodyText"/>
        <w:rPr>
          <w:b/>
        </w:rPr>
      </w:pPr>
      <w:r>
        <w:t xml:space="preserve">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 </w:t>
      </w:r>
      <w:bookmarkStart w:id="1" w:name="HS7_7A"/>
      <w:bookmarkEnd w:id="1"/>
    </w:p>
    <w:p w14:paraId="5F256B68" w14:textId="77777777" w:rsidR="00157BAF" w:rsidRDefault="00157BAF" w:rsidP="00157BAF">
      <w:pPr>
        <w:pStyle w:val="BodyText"/>
      </w:pPr>
      <w:r>
        <w:t xml:space="preserve">The </w:t>
      </w:r>
      <w:bookmarkStart w:id="2" w:name="Sec7140"/>
      <w:r>
        <w:t>Superintendent</w:t>
      </w:r>
      <w:bookmarkEnd w:id="2"/>
      <w:r>
        <w:t xml:space="preserve">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 </w:t>
      </w:r>
    </w:p>
    <w:p w14:paraId="39965D3B" w14:textId="77777777" w:rsidR="00157BAF" w:rsidRDefault="00157BAF" w:rsidP="00157BAF">
      <w:pPr>
        <w:pStyle w:val="SUBHEADING"/>
      </w:pPr>
      <w:r>
        <w:t>Students</w:t>
      </w:r>
      <w:r w:rsidRPr="00A64C2F">
        <w:rPr>
          <w:u w:val="none"/>
        </w:rPr>
        <w:t xml:space="preserve"> </w:t>
      </w:r>
    </w:p>
    <w:p w14:paraId="58838237" w14:textId="77777777" w:rsidR="00157BAF" w:rsidRDefault="00157BAF" w:rsidP="00157BAF">
      <w:pPr>
        <w:pStyle w:val="BodyText"/>
      </w:pPr>
      <w:r>
        <w:t xml:space="preserve">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District’s student conduct rules. The search itself must be conducted in a manner that is reasonably related to its objective and not excessively intrusive in light of the student’s age and sex, and the nature of the infraction. </w:t>
      </w:r>
    </w:p>
    <w:p w14:paraId="48275365" w14:textId="77777777" w:rsidR="00157BAF" w:rsidRDefault="00157BAF" w:rsidP="00157BAF">
      <w:pPr>
        <w:pStyle w:val="BodyText"/>
      </w:pPr>
      <w:r>
        <w:t xml:space="preserve">When feasible, the search should be conducted as follows: </w:t>
      </w:r>
    </w:p>
    <w:p w14:paraId="27B7143F" w14:textId="77777777" w:rsidR="00157BAF" w:rsidRDefault="00157BAF" w:rsidP="00157BAF">
      <w:pPr>
        <w:pStyle w:val="LISTNUMBERDOUBLE"/>
        <w:numPr>
          <w:ilvl w:val="0"/>
          <w:numId w:val="1"/>
        </w:numPr>
      </w:pPr>
      <w:r>
        <w:t>Outside the view of others, including students,</w:t>
      </w:r>
    </w:p>
    <w:p w14:paraId="35908476" w14:textId="77777777" w:rsidR="00157BAF" w:rsidRDefault="00157BAF" w:rsidP="00157BAF">
      <w:pPr>
        <w:pStyle w:val="LISTNUMBERDOUBLE"/>
        <w:numPr>
          <w:ilvl w:val="0"/>
          <w:numId w:val="1"/>
        </w:numPr>
      </w:pPr>
      <w:r>
        <w:t>In the presence of a school administrator or adult witness, and</w:t>
      </w:r>
    </w:p>
    <w:p w14:paraId="043678F7" w14:textId="77777777" w:rsidR="00157BAF" w:rsidRDefault="00157BAF" w:rsidP="00157BAF">
      <w:pPr>
        <w:pStyle w:val="LISTNUMBERDOUBLE"/>
        <w:numPr>
          <w:ilvl w:val="0"/>
          <w:numId w:val="1"/>
        </w:numPr>
      </w:pPr>
      <w:r>
        <w:t>By a certificated employee or liaison police officer of the same sex as the student.</w:t>
      </w:r>
    </w:p>
    <w:p w14:paraId="38CB43E5" w14:textId="77777777" w:rsidR="00157BAF" w:rsidRDefault="00157BAF" w:rsidP="00157BAF">
      <w:pPr>
        <w:pStyle w:val="BodyText"/>
      </w:pPr>
      <w:r>
        <w:t>Immediately following a search, a written report shall be made by the school authority who conducted the search, and given to the Superintendent.</w:t>
      </w:r>
    </w:p>
    <w:p w14:paraId="68F86974" w14:textId="77777777" w:rsidR="00157BAF" w:rsidRDefault="00157BAF" w:rsidP="00157BAF">
      <w:pPr>
        <w:pStyle w:val="SUBHEADING"/>
      </w:pPr>
      <w:r>
        <w:t>Seizure of Property</w:t>
      </w:r>
    </w:p>
    <w:p w14:paraId="1CF26900" w14:textId="77777777" w:rsidR="00157BAF" w:rsidRDefault="00157BAF" w:rsidP="00157BAF">
      <w:pPr>
        <w:pStyle w:val="BodyText"/>
      </w:pPr>
      <w:r>
        <w:t xml:space="preserve">If a search produces evidence that the student has violated or is violating either the law or the District’s policies or rules, such evidence may be seized and impounded by school authorities, and disciplinary action may be taken. When appropriate, such evidence may be transferred to law enforcement authorities. </w:t>
      </w:r>
    </w:p>
    <w:p w14:paraId="1AB2E105" w14:textId="77777777" w:rsidR="00157BAF" w:rsidRPr="00ED3207" w:rsidRDefault="00157BAF" w:rsidP="00157BAF">
      <w:pPr>
        <w:pStyle w:val="SUBHEADING"/>
        <w:rPr>
          <w:u w:val="none"/>
        </w:rPr>
      </w:pPr>
      <w:r>
        <w:t>Notification Regarding Student Accounts or Profiles on Social Networking Websites</w:t>
      </w:r>
      <w:r>
        <w:rPr>
          <w:u w:val="none"/>
        </w:rPr>
        <w:t xml:space="preserve"> </w:t>
      </w:r>
    </w:p>
    <w:p w14:paraId="5B6F433F" w14:textId="77777777" w:rsidR="00157BAF" w:rsidRDefault="00157BAF" w:rsidP="00157BAF">
      <w:pPr>
        <w:pStyle w:val="BodyText"/>
      </w:pPr>
      <w:r>
        <w:t>The Superintendent or designee shall notify students and their parents/guardians of each of the following in accordance with t</w:t>
      </w:r>
      <w:r w:rsidRPr="004E41B0">
        <w:t>he Right to Privacy in the School Setting Act</w:t>
      </w:r>
      <w:r>
        <w:t>,</w:t>
      </w:r>
      <w:r w:rsidRPr="004E41B0">
        <w:t xml:space="preserve"> </w:t>
      </w:r>
      <w:r>
        <w:t>105 ILCS 75/:</w:t>
      </w:r>
    </w:p>
    <w:p w14:paraId="5673BE33" w14:textId="77777777" w:rsidR="00157BAF" w:rsidRDefault="00157BAF" w:rsidP="00157BAF">
      <w:pPr>
        <w:pStyle w:val="LISTNUMBERDOUBLE"/>
        <w:numPr>
          <w:ilvl w:val="0"/>
          <w:numId w:val="2"/>
        </w:numPr>
      </w:pPr>
      <w:r>
        <w:t>School officials may not request or require a student or his or her parent/guardian to provide a password or other related account information to gain access to the student’s account or profile on a social networking website.</w:t>
      </w:r>
    </w:p>
    <w:p w14:paraId="31547D19" w14:textId="77777777" w:rsidR="00157BAF" w:rsidRPr="0036636F" w:rsidRDefault="00157BAF" w:rsidP="00157BAF">
      <w:pPr>
        <w:pStyle w:val="LISTNUMBERDOUBLE"/>
        <w:numPr>
          <w:ilvl w:val="0"/>
          <w:numId w:val="2"/>
        </w:numPr>
      </w:pPr>
      <w:r>
        <w:t>School officials may conduct an investigation or require a student to cooperate in an investigation if there is specific information about activity on the student’s account on a social networking website that violates a school disciplinary rule or policy. In the course of an investigation, the student may be required to share the content that is reported in order to allow school officials to make a factual determination.</w:t>
      </w:r>
    </w:p>
    <w:p w14:paraId="1150085E" w14:textId="77777777" w:rsidR="00157BAF" w:rsidRDefault="00157BAF" w:rsidP="00157BAF">
      <w:pPr>
        <w:pStyle w:val="LEGALREF"/>
      </w:pPr>
      <w:r>
        <w:lastRenderedPageBreak/>
        <w:t>LEGAL REF.:</w:t>
      </w:r>
      <w:r>
        <w:tab/>
        <w:t>105 ILCS 5/10-20.14, 5/10-22.6, and 5/10-22.10a.</w:t>
      </w:r>
    </w:p>
    <w:p w14:paraId="465DC149" w14:textId="77777777" w:rsidR="00157BAF" w:rsidRPr="00BB6CF4" w:rsidRDefault="00157BAF" w:rsidP="00157BAF">
      <w:pPr>
        <w:pStyle w:val="LEGALREFINDENT"/>
      </w:pPr>
      <w:r w:rsidRPr="00BB6CF4">
        <w:t>Right to Privacy in the School Setting Act</w:t>
      </w:r>
      <w:r>
        <w:t>, 105 ILCS 75/.</w:t>
      </w:r>
    </w:p>
    <w:p w14:paraId="15CCDDC5" w14:textId="77777777" w:rsidR="00157BAF" w:rsidRDefault="00157BAF" w:rsidP="00157BAF">
      <w:pPr>
        <w:pStyle w:val="LEGALREFINDENT"/>
      </w:pPr>
      <w:r>
        <w:rPr>
          <w:u w:val="single"/>
        </w:rPr>
        <w:t>Cornfield v. Consolidated High School Dist. No. 230</w:t>
      </w:r>
      <w:r>
        <w:t>, 991 F.2d 1316 (7th Cir. 1993).</w:t>
      </w:r>
    </w:p>
    <w:p w14:paraId="6F6496A5" w14:textId="77777777" w:rsidR="00157BAF" w:rsidRDefault="00157BAF" w:rsidP="00157BAF">
      <w:pPr>
        <w:pStyle w:val="LEGALREFINDENT"/>
      </w:pPr>
      <w:r>
        <w:rPr>
          <w:u w:val="single"/>
        </w:rPr>
        <w:t>People v. Dilworth</w:t>
      </w:r>
      <w:r>
        <w:t xml:space="preserve">, 169 Ill.2d 195 (1996), </w:t>
      </w:r>
      <w:r>
        <w:rPr>
          <w:i/>
        </w:rPr>
        <w:t>cert. denied</w:t>
      </w:r>
      <w:r>
        <w:t xml:space="preserve">, 116 </w:t>
      </w:r>
      <w:proofErr w:type="spellStart"/>
      <w:r>
        <w:t>S.Ct</w:t>
      </w:r>
      <w:proofErr w:type="spellEnd"/>
      <w:r>
        <w:t>. 1692 (1996).</w:t>
      </w:r>
    </w:p>
    <w:p w14:paraId="00F42E1C" w14:textId="77777777" w:rsidR="00157BAF" w:rsidRDefault="00157BAF" w:rsidP="00157BAF">
      <w:pPr>
        <w:pStyle w:val="LEGALREFINDENT"/>
      </w:pPr>
      <w:r>
        <w:rPr>
          <w:u w:val="single"/>
        </w:rPr>
        <w:t>People v. Pruitt</w:t>
      </w:r>
      <w:r>
        <w:t xml:space="preserve">, 278 Ill.App.3d 194 (1st Dist. 1996), </w:t>
      </w:r>
      <w:r>
        <w:rPr>
          <w:i/>
        </w:rPr>
        <w:t>app. denied</w:t>
      </w:r>
      <w:r>
        <w:t xml:space="preserve">, 667 N.E. 2d 1061 (Ill.App.1, 1996). </w:t>
      </w:r>
    </w:p>
    <w:p w14:paraId="32998685" w14:textId="77777777" w:rsidR="00157BAF" w:rsidRDefault="00157BAF" w:rsidP="00157BAF">
      <w:pPr>
        <w:pStyle w:val="LEGALREFINDENT"/>
      </w:pPr>
      <w:r>
        <w:rPr>
          <w:u w:val="single"/>
        </w:rPr>
        <w:t>T.L.O. v. New Jersey</w:t>
      </w:r>
      <w:r>
        <w:t>, 469 U.S. 325 (1985).</w:t>
      </w:r>
    </w:p>
    <w:p w14:paraId="46CA6573" w14:textId="77777777" w:rsidR="00157BAF" w:rsidRDefault="00157BAF" w:rsidP="00157BAF">
      <w:pPr>
        <w:pStyle w:val="LEGALREFINDENT"/>
      </w:pPr>
      <w:r>
        <w:rPr>
          <w:u w:val="single"/>
        </w:rPr>
        <w:t>Vernonia School Dist. 47J v. Acton</w:t>
      </w:r>
      <w:r>
        <w:t>, 515 U.S. 646 (1995).</w:t>
      </w:r>
    </w:p>
    <w:p w14:paraId="5DA2B68B" w14:textId="77777777" w:rsidR="00157BAF" w:rsidRDefault="00157BAF" w:rsidP="00157BAF">
      <w:pPr>
        <w:pStyle w:val="LEGALREFINDENT"/>
      </w:pPr>
      <w:r w:rsidRPr="00046354">
        <w:rPr>
          <w:u w:val="single"/>
        </w:rPr>
        <w:t>Safford Unified School Dist. No. 1 v. Redding</w:t>
      </w:r>
      <w:r>
        <w:t>, 557 U.S. 364 (2009).</w:t>
      </w:r>
    </w:p>
    <w:p w14:paraId="4641D8D9" w14:textId="77777777" w:rsidR="00157BAF" w:rsidRDefault="00157BAF" w:rsidP="00157BAF">
      <w:pPr>
        <w:pStyle w:val="CROSSREF"/>
      </w:pPr>
      <w:r>
        <w:t>CROSS REF.:</w:t>
      </w:r>
      <w:r>
        <w:tab/>
        <w:t>7:130 (Student Rights and Responsibilities), 7:150 (Agency and Police Interviews), 7:190 (Student Behavior)</w:t>
      </w:r>
      <w:bookmarkStart w:id="3" w:name="a7140"/>
      <w:bookmarkEnd w:id="3"/>
    </w:p>
    <w:p w14:paraId="6728DB51" w14:textId="77777777" w:rsidR="00157BAF" w:rsidRDefault="00157BAF" w:rsidP="00157BAF">
      <w:pPr>
        <w:pStyle w:val="CROSSREF"/>
        <w:rPr>
          <w:lang w:val="en-US"/>
        </w:rPr>
      </w:pPr>
      <w:r>
        <w:rPr>
          <w:lang w:val="en-US"/>
        </w:rPr>
        <w:t>ADOPTED:</w:t>
      </w:r>
      <w:r>
        <w:rPr>
          <w:lang w:val="en-US"/>
        </w:rPr>
        <w:tab/>
        <w:t>January 14, 2021</w:t>
      </w:r>
    </w:p>
    <w:p w14:paraId="25728E24" w14:textId="77777777" w:rsidR="00157BAF" w:rsidRDefault="00157BAF" w:rsidP="00157BAF">
      <w:pPr>
        <w:pStyle w:val="CROSSREF"/>
      </w:pPr>
    </w:p>
    <w:p w14:paraId="0395460D" w14:textId="77777777" w:rsidR="00174367" w:rsidRDefault="00174367"/>
    <w:sectPr w:rsidR="001743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2A390" w14:textId="77777777" w:rsidR="005024C1" w:rsidRDefault="005024C1" w:rsidP="00174367">
      <w:r>
        <w:separator/>
      </w:r>
    </w:p>
  </w:endnote>
  <w:endnote w:type="continuationSeparator" w:id="0">
    <w:p w14:paraId="0080DE26" w14:textId="77777777" w:rsidR="005024C1" w:rsidRDefault="005024C1" w:rsidP="0017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8F19" w14:textId="4A9F4BD9" w:rsidR="00157BAF" w:rsidRDefault="00157BAF" w:rsidP="00157BAF">
    <w:pPr>
      <w:pStyle w:val="Footer"/>
      <w:tabs>
        <w:tab w:val="right" w:pos="9000"/>
      </w:tabs>
    </w:pPr>
    <w:r>
      <w:t>7:140</w:t>
    </w:r>
    <w:r>
      <w:tab/>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2</w:t>
    </w:r>
    <w:r>
      <w:fldChar w:fldCharType="end"/>
    </w:r>
  </w:p>
  <w:p w14:paraId="6E17ECB6" w14:textId="7BBDAB76" w:rsidR="00174367" w:rsidRDefault="00174367">
    <w:pPr>
      <w:pStyle w:val="LEGALREFINDENTCha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29958" w14:textId="77777777" w:rsidR="005024C1" w:rsidRDefault="005024C1" w:rsidP="00174367">
      <w:r>
        <w:separator/>
      </w:r>
    </w:p>
  </w:footnote>
  <w:footnote w:type="continuationSeparator" w:id="0">
    <w:p w14:paraId="47EFC4B0" w14:textId="77777777" w:rsidR="005024C1" w:rsidRDefault="005024C1" w:rsidP="0017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E2F7F"/>
    <w:multiLevelType w:val="singleLevel"/>
    <w:tmpl w:val="4926C7A2"/>
    <w:lvl w:ilvl="0">
      <w:start w:val="1"/>
      <w:numFmt w:val="decimal"/>
      <w:lvlText w:val="%1."/>
      <w:legacy w:legacy="1" w:legacySpace="0" w:legacyIndent="360"/>
      <w:lvlJc w:val="left"/>
      <w:pPr>
        <w:ind w:left="720" w:hanging="360"/>
      </w:pPr>
    </w:lvl>
  </w:abstractNum>
  <w:abstractNum w:abstractNumId="1" w15:restartNumberingAfterBreak="0">
    <w:nsid w:val="23A11621"/>
    <w:multiLevelType w:val="singleLevel"/>
    <w:tmpl w:val="4926C7A2"/>
    <w:lvl w:ilvl="0">
      <w:start w:val="1"/>
      <w:numFmt w:val="decimal"/>
      <w:lvlText w:val="%1."/>
      <w:legacy w:legacy="1" w:legacySpace="0" w:legacyIndent="360"/>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67"/>
    <w:rsid w:val="00157BAF"/>
    <w:rsid w:val="00174367"/>
    <w:rsid w:val="00181363"/>
    <w:rsid w:val="001E6646"/>
    <w:rsid w:val="005024C1"/>
    <w:rsid w:val="005508EC"/>
    <w:rsid w:val="00653F20"/>
    <w:rsid w:val="007923D4"/>
    <w:rsid w:val="00814D49"/>
    <w:rsid w:val="00825813"/>
    <w:rsid w:val="008D0399"/>
    <w:rsid w:val="00976D9D"/>
    <w:rsid w:val="009C64D5"/>
    <w:rsid w:val="009C6CDF"/>
    <w:rsid w:val="00A345CB"/>
    <w:rsid w:val="00A706DF"/>
    <w:rsid w:val="00BA7935"/>
    <w:rsid w:val="00CA5C1B"/>
    <w:rsid w:val="00CC4413"/>
    <w:rsid w:val="00D30F49"/>
    <w:rsid w:val="00DA6A86"/>
    <w:rsid w:val="00DE3A2E"/>
    <w:rsid w:val="00EA4EC3"/>
    <w:rsid w:val="00EE25B8"/>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8DB6B"/>
  <w15:chartTrackingRefBased/>
  <w15:docId w15:val="{4D881599-966D-1B47-A61B-A03F1A0C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BAF"/>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157BAF"/>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BAF"/>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157BAF"/>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157BAF"/>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157BAF"/>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157BAF"/>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157BAF"/>
    <w:pPr>
      <w:tabs>
        <w:tab w:val="clear" w:pos="1800"/>
      </w:tabs>
      <w:spacing w:before="0"/>
      <w:ind w:hanging="360"/>
    </w:pPr>
  </w:style>
  <w:style w:type="paragraph" w:customStyle="1" w:styleId="CROSSREF">
    <w:name w:val="CROSS REF"/>
    <w:basedOn w:val="Normal"/>
    <w:link w:val="CROSSREFChar"/>
    <w:rsid w:val="00157BAF"/>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157BAF"/>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customStyle="1" w:styleId="SUBHEADING">
    <w:name w:val="SUBHEADING"/>
    <w:basedOn w:val="Normal"/>
    <w:next w:val="BodyText"/>
    <w:link w:val="SUBHEADINGChar"/>
    <w:rsid w:val="00157BAF"/>
    <w:pPr>
      <w:keepNext/>
      <w:overflowPunct w:val="0"/>
      <w:autoSpaceDE w:val="0"/>
      <w:autoSpaceDN w:val="0"/>
      <w:adjustRightInd w:val="0"/>
      <w:spacing w:before="120" w:after="60"/>
      <w:textAlignment w:val="baseline"/>
    </w:pPr>
    <w:rPr>
      <w:rFonts w:ascii="Times New Roman" w:eastAsia="Times New Roman" w:hAnsi="Times New Roman" w:cs="Times New Roman"/>
      <w:kern w:val="28"/>
      <w:sz w:val="22"/>
      <w:szCs w:val="20"/>
      <w:u w:val="single"/>
      <w:lang w:val="x-none" w:eastAsia="x-none"/>
    </w:rPr>
  </w:style>
  <w:style w:type="paragraph" w:styleId="Header">
    <w:name w:val="header"/>
    <w:basedOn w:val="Normal"/>
    <w:link w:val="HeaderChar"/>
    <w:rsid w:val="00157BAF"/>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157BAF"/>
    <w:rPr>
      <w:rFonts w:ascii="Times New Roman" w:eastAsia="Times New Roman" w:hAnsi="Times New Roman" w:cs="Times New Roman"/>
      <w:kern w:val="28"/>
      <w:sz w:val="22"/>
      <w:szCs w:val="20"/>
      <w:lang w:val="x-none" w:eastAsia="x-none"/>
    </w:rPr>
  </w:style>
  <w:style w:type="character" w:customStyle="1" w:styleId="SUBHEADINGChar">
    <w:name w:val="SUBHEADING Char"/>
    <w:link w:val="SUBHEADING"/>
    <w:rsid w:val="00157BAF"/>
    <w:rPr>
      <w:rFonts w:ascii="Times New Roman" w:eastAsia="Times New Roman" w:hAnsi="Times New Roman" w:cs="Times New Roman"/>
      <w:kern w:val="28"/>
      <w:sz w:val="22"/>
      <w:szCs w:val="20"/>
      <w:u w:val="single"/>
      <w:lang w:val="x-none" w:eastAsia="x-none"/>
    </w:rPr>
  </w:style>
  <w:style w:type="character" w:customStyle="1" w:styleId="LEGALREFChar">
    <w:name w:val="LEGAL REF Char"/>
    <w:link w:val="LEGALREF"/>
    <w:rsid w:val="00157BAF"/>
    <w:rPr>
      <w:rFonts w:ascii="Times New Roman" w:eastAsia="Times New Roman" w:hAnsi="Times New Roman" w:cs="Times New Roman"/>
      <w:spacing w:val="-2"/>
      <w:kern w:val="28"/>
      <w:sz w:val="22"/>
      <w:szCs w:val="20"/>
      <w:lang w:val="x-none" w:eastAsia="x-none"/>
    </w:rPr>
  </w:style>
  <w:style w:type="character" w:customStyle="1" w:styleId="CROSSREFChar">
    <w:name w:val="CROSS REF Char"/>
    <w:link w:val="CROSSREF"/>
    <w:rsid w:val="00157BAF"/>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157BAF"/>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157BAF"/>
    <w:pPr>
      <w:numPr>
        <w:numId w:val="1"/>
      </w:numPr>
      <w:contextualSpacing/>
    </w:pPr>
  </w:style>
  <w:style w:type="paragraph" w:styleId="Footer">
    <w:name w:val="footer"/>
    <w:basedOn w:val="Normal"/>
    <w:link w:val="FooterChar"/>
    <w:unhideWhenUsed/>
    <w:rsid w:val="00157BAF"/>
    <w:pPr>
      <w:tabs>
        <w:tab w:val="center" w:pos="4680"/>
        <w:tab w:val="right" w:pos="9360"/>
      </w:tabs>
    </w:pPr>
  </w:style>
  <w:style w:type="character" w:customStyle="1" w:styleId="FooterChar">
    <w:name w:val="Footer Char"/>
    <w:basedOn w:val="DefaultParagraphFont"/>
    <w:link w:val="Footer"/>
    <w:rsid w:val="0015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2021-01-06T21:25:00Z</dcterms:created>
  <dcterms:modified xsi:type="dcterms:W3CDTF">2021-01-06T21:25:00Z</dcterms:modified>
</cp:coreProperties>
</file>