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9B" w:rsidRPr="00385685" w:rsidRDefault="0036079B" w:rsidP="0036079B">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385685">
        <w:rPr>
          <w:rFonts w:eastAsiaTheme="minorHAnsi"/>
          <w:sz w:val="22"/>
          <w:szCs w:val="22"/>
        </w:rPr>
        <w:tab/>
        <w:t>5:260</w:t>
      </w:r>
    </w:p>
    <w:p w:rsidR="0036079B" w:rsidRPr="00385685" w:rsidRDefault="0036079B" w:rsidP="0036079B">
      <w:pPr>
        <w:jc w:val="both"/>
        <w:rPr>
          <w:kern w:val="28"/>
          <w:sz w:val="22"/>
          <w:szCs w:val="20"/>
        </w:rPr>
      </w:pPr>
    </w:p>
    <w:p w:rsidR="0036079B" w:rsidRPr="00385685" w:rsidRDefault="0036079B" w:rsidP="0036079B">
      <w:pPr>
        <w:keepNext/>
        <w:spacing w:before="120" w:after="120"/>
        <w:jc w:val="center"/>
        <w:outlineLvl w:val="0"/>
        <w:rPr>
          <w:rFonts w:ascii="Arial" w:hAnsi="Arial"/>
          <w:b/>
          <w:kern w:val="28"/>
          <w:sz w:val="28"/>
          <w:szCs w:val="20"/>
          <w:u w:val="single"/>
        </w:rPr>
      </w:pPr>
      <w:r w:rsidRPr="00385685">
        <w:rPr>
          <w:rFonts w:ascii="Arial" w:hAnsi="Arial"/>
          <w:b/>
          <w:kern w:val="28"/>
          <w:sz w:val="28"/>
          <w:szCs w:val="20"/>
          <w:u w:val="single"/>
        </w:rPr>
        <w:t>Professional Personnel</w:t>
      </w:r>
    </w:p>
    <w:p w:rsidR="0036079B" w:rsidRPr="00385685" w:rsidRDefault="0036079B" w:rsidP="0036079B">
      <w:pPr>
        <w:keepNext/>
        <w:spacing w:before="120" w:after="120"/>
        <w:jc w:val="both"/>
        <w:outlineLvl w:val="1"/>
        <w:rPr>
          <w:rFonts w:ascii="Arial" w:hAnsi="Arial"/>
          <w:b/>
          <w:kern w:val="28"/>
          <w:sz w:val="22"/>
          <w:szCs w:val="20"/>
          <w:u w:val="single"/>
        </w:rPr>
      </w:pPr>
      <w:r w:rsidRPr="00385685">
        <w:rPr>
          <w:rFonts w:ascii="Arial" w:hAnsi="Arial"/>
          <w:b/>
          <w:kern w:val="28"/>
          <w:sz w:val="22"/>
          <w:szCs w:val="20"/>
          <w:u w:val="single"/>
        </w:rPr>
        <w:t>Student Teachers</w:t>
      </w:r>
      <w:r w:rsidRPr="00385685">
        <w:rPr>
          <w:rFonts w:ascii="Arial" w:hAnsi="Arial"/>
          <w:b/>
          <w:bCs/>
          <w:kern w:val="28"/>
          <w:sz w:val="22"/>
          <w:szCs w:val="20"/>
        </w:rPr>
        <w:t xml:space="preserve"> </w:t>
      </w:r>
    </w:p>
    <w:p w:rsidR="0036079B" w:rsidRPr="00385685" w:rsidRDefault="0036079B" w:rsidP="0036079B">
      <w:pPr>
        <w:spacing w:before="60" w:after="60"/>
        <w:jc w:val="both"/>
        <w:rPr>
          <w:kern w:val="28"/>
          <w:sz w:val="22"/>
          <w:szCs w:val="20"/>
        </w:rPr>
      </w:pPr>
      <w:r w:rsidRPr="00385685">
        <w:rPr>
          <w:kern w:val="28"/>
          <w:sz w:val="22"/>
          <w:szCs w:val="20"/>
        </w:rPr>
        <w:t>The Superintendent is authorized to accept students from university-approved teacher-training programs to do student teaching in the District. No individual who has been convicted of a criminal offense that would subject him or her to license suspension or revocation pursuant to Section 5/21B-80 of the School Code or who has been found to be the perpetrator of sexual or physical abuse of a minor under 18 years of age pursuant to proceedings under Article II of the Juvenile Court Act of 1987 is permitted to student teach.</w:t>
      </w:r>
    </w:p>
    <w:p w:rsidR="0036079B" w:rsidRPr="00385685" w:rsidRDefault="0036079B" w:rsidP="0036079B">
      <w:pPr>
        <w:spacing w:before="60" w:after="60"/>
        <w:jc w:val="both"/>
        <w:rPr>
          <w:kern w:val="28"/>
          <w:sz w:val="22"/>
          <w:szCs w:val="20"/>
        </w:rPr>
      </w:pPr>
      <w:r w:rsidRPr="00385685">
        <w:rPr>
          <w:kern w:val="28"/>
          <w:sz w:val="22"/>
          <w:szCs w:val="20"/>
        </w:rPr>
        <w:t xml:space="preserve">Before permitting an individual to student teach or begin a required internship in the District, the Superintendent or designee shall ensure that: </w:t>
      </w:r>
    </w:p>
    <w:p w:rsidR="0036079B" w:rsidRPr="00385685" w:rsidRDefault="0036079B" w:rsidP="0036079B">
      <w:pPr>
        <w:numPr>
          <w:ilvl w:val="0"/>
          <w:numId w:val="1"/>
        </w:numPr>
        <w:jc w:val="both"/>
        <w:rPr>
          <w:kern w:val="28"/>
          <w:sz w:val="22"/>
          <w:szCs w:val="20"/>
        </w:rPr>
      </w:pPr>
      <w:r w:rsidRPr="00385685">
        <w:rPr>
          <w:kern w:val="28"/>
          <w:sz w:val="22"/>
          <w:szCs w:val="20"/>
        </w:rPr>
        <w:t xml:space="preserve">The District performed a </w:t>
      </w:r>
      <w:r w:rsidRPr="00385685">
        <w:rPr>
          <w:i/>
          <w:kern w:val="28"/>
          <w:sz w:val="22"/>
          <w:szCs w:val="20"/>
        </w:rPr>
        <w:t>105 ILCS 5/10-21.9(g) Check</w:t>
      </w:r>
      <w:r w:rsidRPr="00385685">
        <w:rPr>
          <w:kern w:val="28"/>
          <w:sz w:val="22"/>
          <w:szCs w:val="20"/>
        </w:rPr>
        <w:t xml:space="preserve"> as described below; and</w:t>
      </w:r>
    </w:p>
    <w:p w:rsidR="0036079B" w:rsidRPr="00385685" w:rsidRDefault="0036079B" w:rsidP="0036079B">
      <w:pPr>
        <w:numPr>
          <w:ilvl w:val="0"/>
          <w:numId w:val="1"/>
        </w:numPr>
        <w:jc w:val="both"/>
        <w:rPr>
          <w:kern w:val="28"/>
          <w:sz w:val="22"/>
          <w:szCs w:val="20"/>
        </w:rPr>
      </w:pPr>
      <w:r w:rsidRPr="00385685">
        <w:rPr>
          <w:kern w:val="28"/>
          <w:sz w:val="22"/>
          <w:szCs w:val="20"/>
        </w:rPr>
        <w:t xml:space="preserve">The individual furnished evidence of physical fitness to perform assigned duties and freedom from communicable disease pursuant to 105 ILCS 5/24-5. </w:t>
      </w:r>
    </w:p>
    <w:p w:rsidR="0036079B" w:rsidRPr="00385685" w:rsidRDefault="0036079B" w:rsidP="0036079B">
      <w:pPr>
        <w:spacing w:before="60" w:after="60"/>
        <w:jc w:val="both"/>
        <w:rPr>
          <w:kern w:val="28"/>
          <w:sz w:val="22"/>
          <w:szCs w:val="20"/>
        </w:rPr>
      </w:pPr>
      <w:r w:rsidRPr="00385685">
        <w:rPr>
          <w:kern w:val="28"/>
          <w:sz w:val="22"/>
          <w:szCs w:val="20"/>
        </w:rPr>
        <w:t xml:space="preserve">A </w:t>
      </w:r>
      <w:r w:rsidRPr="00385685">
        <w:rPr>
          <w:i/>
          <w:kern w:val="28"/>
          <w:sz w:val="22"/>
          <w:szCs w:val="20"/>
        </w:rPr>
        <w:t>105 ILCS 5/10-21.9(g) Check</w:t>
      </w:r>
      <w:r w:rsidRPr="00385685">
        <w:rPr>
          <w:kern w:val="28"/>
          <w:sz w:val="22"/>
          <w:szCs w:val="20"/>
        </w:rPr>
        <w:t xml:space="preserve"> shall include:</w:t>
      </w:r>
    </w:p>
    <w:p w:rsidR="0036079B" w:rsidRPr="00385685" w:rsidRDefault="0036079B" w:rsidP="0036079B">
      <w:pPr>
        <w:numPr>
          <w:ilvl w:val="0"/>
          <w:numId w:val="2"/>
        </w:numPr>
        <w:jc w:val="both"/>
        <w:rPr>
          <w:kern w:val="28"/>
          <w:sz w:val="22"/>
          <w:szCs w:val="20"/>
        </w:rPr>
      </w:pPr>
      <w:r w:rsidRPr="00385685">
        <w:rPr>
          <w:kern w:val="28"/>
          <w:sz w:val="22"/>
          <w:szCs w:val="20"/>
        </w:rPr>
        <w:t>Fingerprint-based checks through (a) the Illinois State Police (ISP) for criminal history records information (CHRI) pursuant to the Uniform Conviction Information Act (20 ILCS 2635/1), and (b) the FBI national crime information databases pursuant to the Adam Walsh Child Protection and Safety Act (P.L. 109-248);</w:t>
      </w:r>
    </w:p>
    <w:p w:rsidR="0036079B" w:rsidRPr="00385685" w:rsidRDefault="0036079B" w:rsidP="0036079B">
      <w:pPr>
        <w:numPr>
          <w:ilvl w:val="0"/>
          <w:numId w:val="1"/>
        </w:numPr>
        <w:jc w:val="both"/>
        <w:rPr>
          <w:kern w:val="28"/>
          <w:sz w:val="22"/>
          <w:szCs w:val="20"/>
        </w:rPr>
      </w:pPr>
      <w:r w:rsidRPr="00385685">
        <w:rPr>
          <w:kern w:val="28"/>
          <w:sz w:val="22"/>
          <w:szCs w:val="20"/>
        </w:rPr>
        <w:t xml:space="preserve">A check of the Illinois Sex Offender Registry (see the Sex Offender Community Notification Law (730 ILCS 152/101 </w:t>
      </w:r>
      <w:r w:rsidRPr="00385685">
        <w:rPr>
          <w:kern w:val="28"/>
          <w:sz w:val="22"/>
          <w:szCs w:val="20"/>
          <w:u w:val="single"/>
        </w:rPr>
        <w:t>et</w:t>
      </w:r>
      <w:r w:rsidRPr="00385685">
        <w:rPr>
          <w:kern w:val="28"/>
          <w:sz w:val="22"/>
          <w:szCs w:val="20"/>
        </w:rPr>
        <w:t xml:space="preserve"> </w:t>
      </w:r>
      <w:r w:rsidRPr="00385685">
        <w:rPr>
          <w:kern w:val="28"/>
          <w:sz w:val="22"/>
          <w:szCs w:val="20"/>
          <w:u w:val="single"/>
        </w:rPr>
        <w:t>seq</w:t>
      </w:r>
      <w:r w:rsidRPr="00385685">
        <w:rPr>
          <w:kern w:val="28"/>
          <w:sz w:val="22"/>
          <w:szCs w:val="20"/>
        </w:rPr>
        <w:t>.); and</w:t>
      </w:r>
    </w:p>
    <w:p w:rsidR="0036079B" w:rsidRPr="00385685" w:rsidRDefault="0036079B" w:rsidP="0036079B">
      <w:pPr>
        <w:numPr>
          <w:ilvl w:val="0"/>
          <w:numId w:val="1"/>
        </w:numPr>
        <w:jc w:val="both"/>
        <w:rPr>
          <w:kern w:val="28"/>
          <w:sz w:val="22"/>
          <w:szCs w:val="20"/>
        </w:rPr>
      </w:pPr>
      <w:r w:rsidRPr="00385685">
        <w:rPr>
          <w:kern w:val="28"/>
          <w:sz w:val="22"/>
          <w:szCs w:val="20"/>
        </w:rPr>
        <w:t xml:space="preserve">A check of the Illinois Murderer and Violent Offender Against Youth Registry (Murderer and Violent Offender Against Youth </w:t>
      </w:r>
      <w:r>
        <w:rPr>
          <w:kern w:val="28"/>
          <w:sz w:val="22"/>
          <w:szCs w:val="20"/>
        </w:rPr>
        <w:t>Registration Act</w:t>
      </w:r>
      <w:r w:rsidRPr="00385685">
        <w:rPr>
          <w:kern w:val="28"/>
          <w:sz w:val="22"/>
          <w:szCs w:val="20"/>
        </w:rPr>
        <w:t xml:space="preserve"> (730 ILCS 154/75-105).</w:t>
      </w:r>
    </w:p>
    <w:p w:rsidR="0036079B" w:rsidRPr="00385685" w:rsidRDefault="0036079B" w:rsidP="0036079B">
      <w:pPr>
        <w:spacing w:before="60" w:after="60"/>
        <w:jc w:val="both"/>
        <w:rPr>
          <w:kern w:val="28"/>
          <w:sz w:val="22"/>
          <w:szCs w:val="20"/>
        </w:rPr>
      </w:pPr>
      <w:r w:rsidRPr="00385685">
        <w:rPr>
          <w:kern w:val="28"/>
          <w:sz w:val="22"/>
          <w:szCs w:val="20"/>
        </w:rPr>
        <w:t xml:space="preserve">The School Code requires each individual student teaching or beginning a required internship to provide the District with written authorization for, and pay the costs of, his or her 105 ILCS 5/10-21.9(g) check (including any applicable vendor’s fees). Upon receipt of this authorization and payment, the Superintendent or designee will submit the student teacher’s name, sex, race, </w:t>
      </w:r>
      <w:proofErr w:type="gramStart"/>
      <w:r w:rsidRPr="00385685">
        <w:rPr>
          <w:kern w:val="28"/>
          <w:sz w:val="22"/>
          <w:szCs w:val="20"/>
        </w:rPr>
        <w:t>date</w:t>
      </w:r>
      <w:proofErr w:type="gramEnd"/>
      <w:r w:rsidRPr="00385685">
        <w:rPr>
          <w:kern w:val="28"/>
          <w:sz w:val="22"/>
          <w:szCs w:val="20"/>
        </w:rPr>
        <w:t xml:space="preserve"> of birth, social security number, fingerprint images, and other identifiers, as prescribed by the </w:t>
      </w:r>
      <w:r>
        <w:rPr>
          <w:kern w:val="28"/>
          <w:sz w:val="22"/>
          <w:szCs w:val="20"/>
        </w:rPr>
        <w:t xml:space="preserve">Ill. </w:t>
      </w:r>
      <w:r w:rsidRPr="00385685">
        <w:rPr>
          <w:kern w:val="28"/>
          <w:sz w:val="22"/>
          <w:szCs w:val="20"/>
        </w:rPr>
        <w:t>State Police</w:t>
      </w:r>
      <w:r>
        <w:rPr>
          <w:kern w:val="28"/>
          <w:sz w:val="22"/>
          <w:szCs w:val="20"/>
        </w:rPr>
        <w:t xml:space="preserve"> (ISP)</w:t>
      </w:r>
      <w:r w:rsidRPr="00385685">
        <w:rPr>
          <w:kern w:val="28"/>
          <w:sz w:val="22"/>
          <w:szCs w:val="20"/>
        </w:rPr>
        <w:t xml:space="preserve">, to the </w:t>
      </w:r>
      <w:r>
        <w:rPr>
          <w:kern w:val="28"/>
          <w:sz w:val="22"/>
          <w:szCs w:val="20"/>
        </w:rPr>
        <w:t>ISP</w:t>
      </w:r>
      <w:r w:rsidRPr="00385685">
        <w:rPr>
          <w:kern w:val="28"/>
          <w:sz w:val="22"/>
          <w:szCs w:val="20"/>
        </w:rPr>
        <w:t xml:space="preserve">. The Superintendent or designee will provide each student teacher with a copy of his or her report. </w:t>
      </w:r>
    </w:p>
    <w:p w:rsidR="0036079B" w:rsidRPr="00385685" w:rsidRDefault="0036079B" w:rsidP="0036079B">
      <w:pPr>
        <w:keepNext/>
        <w:spacing w:before="120"/>
        <w:jc w:val="both"/>
        <w:rPr>
          <w:kern w:val="28"/>
          <w:sz w:val="22"/>
          <w:szCs w:val="20"/>
          <w:u w:val="single"/>
        </w:rPr>
      </w:pPr>
      <w:r w:rsidRPr="00385685">
        <w:rPr>
          <w:kern w:val="28"/>
          <w:sz w:val="22"/>
          <w:szCs w:val="20"/>
          <w:u w:val="single"/>
        </w:rPr>
        <w:t>Assignment</w:t>
      </w:r>
    </w:p>
    <w:p w:rsidR="0036079B" w:rsidRPr="00385685" w:rsidRDefault="0036079B" w:rsidP="0036079B">
      <w:pPr>
        <w:spacing w:before="60" w:after="60"/>
        <w:jc w:val="both"/>
        <w:rPr>
          <w:kern w:val="28"/>
          <w:sz w:val="22"/>
          <w:szCs w:val="20"/>
        </w:rPr>
      </w:pPr>
      <w:r w:rsidRPr="00385685">
        <w:rPr>
          <w:kern w:val="28"/>
          <w:sz w:val="22"/>
          <w:szCs w:val="20"/>
        </w:rPr>
        <w:t>The Superintendent or designee shall be responsible for coordinating placements of all student teachers within the District. Student teachers should be assigned to supervising teachers whose qualifications are acceptable to the District and the students’ respective colleges or universities.</w:t>
      </w:r>
    </w:p>
    <w:p w:rsidR="0036079B" w:rsidRPr="00385685" w:rsidRDefault="0036079B" w:rsidP="0036079B">
      <w:pPr>
        <w:keepNext/>
        <w:keepLines/>
        <w:tabs>
          <w:tab w:val="left" w:pos="1800"/>
        </w:tabs>
        <w:suppressAutoHyphens/>
        <w:spacing w:before="360"/>
        <w:ind w:left="2160" w:hanging="2160"/>
        <w:jc w:val="both"/>
        <w:rPr>
          <w:spacing w:val="-2"/>
          <w:kern w:val="28"/>
          <w:sz w:val="22"/>
          <w:szCs w:val="20"/>
        </w:rPr>
      </w:pPr>
      <w:r w:rsidRPr="00385685">
        <w:rPr>
          <w:spacing w:val="-2"/>
          <w:kern w:val="28"/>
          <w:sz w:val="22"/>
          <w:szCs w:val="20"/>
        </w:rPr>
        <w:t>LEGAL REF.:</w:t>
      </w:r>
      <w:r w:rsidRPr="00385685">
        <w:rPr>
          <w:spacing w:val="-2"/>
          <w:kern w:val="28"/>
          <w:sz w:val="22"/>
          <w:szCs w:val="20"/>
        </w:rPr>
        <w:tab/>
      </w:r>
      <w:r>
        <w:rPr>
          <w:spacing w:val="-2"/>
          <w:kern w:val="28"/>
          <w:sz w:val="22"/>
          <w:szCs w:val="20"/>
        </w:rPr>
        <w:t xml:space="preserve">34 U.S.C. §20901 </w:t>
      </w:r>
      <w:r w:rsidRPr="007922B4">
        <w:rPr>
          <w:spacing w:val="-2"/>
          <w:kern w:val="28"/>
          <w:sz w:val="22"/>
          <w:szCs w:val="20"/>
          <w:u w:val="single"/>
        </w:rPr>
        <w:t>et</w:t>
      </w:r>
      <w:r>
        <w:rPr>
          <w:spacing w:val="-2"/>
          <w:kern w:val="28"/>
          <w:sz w:val="22"/>
          <w:szCs w:val="20"/>
        </w:rPr>
        <w:t xml:space="preserve"> </w:t>
      </w:r>
      <w:r w:rsidRPr="007922B4">
        <w:rPr>
          <w:spacing w:val="-2"/>
          <w:kern w:val="28"/>
          <w:sz w:val="22"/>
          <w:szCs w:val="20"/>
          <w:u w:val="single"/>
        </w:rPr>
        <w:t>seq</w:t>
      </w:r>
      <w:r>
        <w:rPr>
          <w:spacing w:val="-2"/>
          <w:kern w:val="28"/>
          <w:sz w:val="22"/>
          <w:szCs w:val="20"/>
        </w:rPr>
        <w:t xml:space="preserve">., </w:t>
      </w:r>
      <w:r w:rsidRPr="00385685">
        <w:rPr>
          <w:spacing w:val="-2"/>
          <w:kern w:val="28"/>
          <w:sz w:val="22"/>
          <w:szCs w:val="20"/>
        </w:rPr>
        <w:t>Adam Walsh Child Protection and Safety Act, P.L. 109-248.</w:t>
      </w:r>
    </w:p>
    <w:p w:rsidR="0036079B" w:rsidRPr="00385685" w:rsidRDefault="0036079B" w:rsidP="0036079B">
      <w:pPr>
        <w:keepNext/>
        <w:keepLines/>
        <w:suppressAutoHyphens/>
        <w:ind w:left="2160" w:hanging="360"/>
        <w:jc w:val="both"/>
        <w:rPr>
          <w:spacing w:val="-2"/>
          <w:kern w:val="28"/>
          <w:sz w:val="22"/>
          <w:szCs w:val="20"/>
        </w:rPr>
      </w:pPr>
      <w:r w:rsidRPr="00385685">
        <w:rPr>
          <w:spacing w:val="-2"/>
          <w:kern w:val="28"/>
          <w:sz w:val="22"/>
          <w:szCs w:val="20"/>
        </w:rPr>
        <w:t>20 ILCS 2635/1</w:t>
      </w:r>
      <w:r>
        <w:rPr>
          <w:spacing w:val="-2"/>
          <w:kern w:val="28"/>
          <w:sz w:val="22"/>
          <w:szCs w:val="20"/>
        </w:rPr>
        <w:t>, Uniform Conviction Information Act</w:t>
      </w:r>
      <w:r w:rsidRPr="00385685">
        <w:rPr>
          <w:spacing w:val="-2"/>
          <w:kern w:val="28"/>
          <w:sz w:val="22"/>
          <w:szCs w:val="20"/>
        </w:rPr>
        <w:t>.</w:t>
      </w:r>
    </w:p>
    <w:p w:rsidR="0036079B" w:rsidRPr="00385685" w:rsidRDefault="0036079B" w:rsidP="0036079B">
      <w:pPr>
        <w:keepNext/>
        <w:keepLines/>
        <w:suppressAutoHyphens/>
        <w:ind w:left="2160" w:hanging="360"/>
        <w:jc w:val="both"/>
        <w:rPr>
          <w:spacing w:val="-2"/>
          <w:kern w:val="28"/>
          <w:sz w:val="22"/>
          <w:szCs w:val="20"/>
        </w:rPr>
      </w:pPr>
      <w:r w:rsidRPr="00385685">
        <w:rPr>
          <w:spacing w:val="-2"/>
          <w:kern w:val="28"/>
          <w:sz w:val="22"/>
          <w:szCs w:val="20"/>
        </w:rPr>
        <w:t>105 ILCS 5/10-21.9, 5/10-22.34, and 5/24-5.</w:t>
      </w:r>
    </w:p>
    <w:p w:rsidR="0036079B" w:rsidRDefault="0036079B" w:rsidP="0036079B">
      <w:pPr>
        <w:keepNext/>
        <w:keepLines/>
        <w:tabs>
          <w:tab w:val="left" w:pos="1800"/>
        </w:tabs>
        <w:spacing w:before="240"/>
        <w:ind w:left="1800" w:hanging="1800"/>
        <w:jc w:val="both"/>
        <w:rPr>
          <w:kern w:val="28"/>
          <w:sz w:val="22"/>
          <w:szCs w:val="20"/>
        </w:rPr>
      </w:pPr>
      <w:r w:rsidRPr="00385685">
        <w:rPr>
          <w:kern w:val="28"/>
          <w:sz w:val="22"/>
          <w:szCs w:val="20"/>
        </w:rPr>
        <w:t>CROSS REF.:</w:t>
      </w:r>
      <w:r w:rsidRPr="00385685">
        <w:rPr>
          <w:kern w:val="28"/>
          <w:sz w:val="22"/>
          <w:szCs w:val="20"/>
        </w:rPr>
        <w:tab/>
        <w:t>4:175 (Convicted Child Sex Offender; Screening; Notifications), 5:190 (Teacher Qualifications)</w:t>
      </w:r>
    </w:p>
    <w:p w:rsidR="0036079B" w:rsidRDefault="0036079B" w:rsidP="0036079B">
      <w:pPr>
        <w:keepNext/>
        <w:keepLines/>
        <w:tabs>
          <w:tab w:val="left" w:pos="1800"/>
        </w:tabs>
        <w:spacing w:before="240"/>
        <w:ind w:left="1800" w:hanging="1800"/>
        <w:jc w:val="both"/>
        <w:rPr>
          <w:kern w:val="28"/>
          <w:sz w:val="22"/>
          <w:szCs w:val="20"/>
        </w:rPr>
      </w:pPr>
      <w:proofErr w:type="gramStart"/>
      <w:r>
        <w:rPr>
          <w:kern w:val="28"/>
          <w:sz w:val="22"/>
          <w:szCs w:val="20"/>
        </w:rPr>
        <w:t>ADOPTED.:</w:t>
      </w:r>
      <w:proofErr w:type="gramEnd"/>
      <w:r>
        <w:rPr>
          <w:kern w:val="28"/>
          <w:sz w:val="22"/>
          <w:szCs w:val="20"/>
        </w:rPr>
        <w:tab/>
        <w:t>May 11, 2023</w:t>
      </w:r>
    </w:p>
    <w:p w:rsidR="0036079B" w:rsidRDefault="0036079B" w:rsidP="0036079B">
      <w:pPr>
        <w:keepNext/>
        <w:keepLines/>
        <w:tabs>
          <w:tab w:val="left" w:pos="1800"/>
        </w:tabs>
        <w:spacing w:before="240"/>
        <w:ind w:left="1800" w:hanging="1800"/>
        <w:jc w:val="both"/>
        <w:rPr>
          <w:kern w:val="28"/>
          <w:sz w:val="22"/>
          <w:szCs w:val="20"/>
        </w:rPr>
      </w:pPr>
    </w:p>
    <w:p w:rsidR="00C64697" w:rsidRDefault="00C64697"/>
    <w:sectPr w:rsidR="00C64697" w:rsidSect="00C6469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77" w:rsidRDefault="00EF1577" w:rsidP="00BA1216">
      <w:r>
        <w:separator/>
      </w:r>
    </w:p>
  </w:endnote>
  <w:endnote w:type="continuationSeparator" w:id="0">
    <w:p w:rsidR="00EF1577" w:rsidRDefault="00EF1577" w:rsidP="00BA1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AA" w:rsidRDefault="003042AA">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77" w:rsidRDefault="00EF1577" w:rsidP="00BA1216">
      <w:r>
        <w:separator/>
      </w:r>
    </w:p>
  </w:footnote>
  <w:footnote w:type="continuationSeparator" w:id="0">
    <w:p w:rsidR="00EF1577" w:rsidRDefault="00EF1577" w:rsidP="00BA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D1CC"/>
    <w:multiLevelType w:val="hybridMultilevel"/>
    <w:tmpl w:val="F17A70D8"/>
    <w:lvl w:ilvl="0" w:tplc="EA0C82DA">
      <w:start w:val="1"/>
      <w:numFmt w:val="decimal"/>
      <w:pStyle w:val="ListNumber2"/>
      <w:lvlText w:val="%1."/>
      <w:lvlJc w:val="left"/>
      <w:pPr>
        <w:ind w:left="720" w:hanging="360"/>
      </w:pPr>
      <w:rPr>
        <w:rFonts w:hint="default"/>
      </w:rPr>
    </w:lvl>
    <w:lvl w:ilvl="1" w:tplc="85A6CC8C">
      <w:start w:val="1"/>
      <w:numFmt w:val="lowerLetter"/>
      <w:lvlText w:val="%2."/>
      <w:lvlJc w:val="left"/>
      <w:pPr>
        <w:ind w:left="1440" w:hanging="360"/>
      </w:pPr>
    </w:lvl>
    <w:lvl w:ilvl="2" w:tplc="A25E8C5E">
      <w:start w:val="1"/>
      <w:numFmt w:val="lowerRoman"/>
      <w:lvlText w:val="%3."/>
      <w:lvlJc w:val="right"/>
      <w:pPr>
        <w:ind w:left="2160" w:hanging="180"/>
      </w:pPr>
    </w:lvl>
    <w:lvl w:ilvl="3" w:tplc="86FAB100" w:tentative="1">
      <w:start w:val="1"/>
      <w:numFmt w:val="decimal"/>
      <w:lvlText w:val="%4."/>
      <w:lvlJc w:val="left"/>
      <w:pPr>
        <w:ind w:left="2880" w:hanging="360"/>
      </w:pPr>
    </w:lvl>
    <w:lvl w:ilvl="4" w:tplc="E1B4538A" w:tentative="1">
      <w:start w:val="1"/>
      <w:numFmt w:val="lowerLetter"/>
      <w:lvlText w:val="%5."/>
      <w:lvlJc w:val="left"/>
      <w:pPr>
        <w:ind w:left="3600" w:hanging="360"/>
      </w:pPr>
    </w:lvl>
    <w:lvl w:ilvl="5" w:tplc="68A058D6" w:tentative="1">
      <w:start w:val="1"/>
      <w:numFmt w:val="lowerRoman"/>
      <w:lvlText w:val="%6."/>
      <w:lvlJc w:val="right"/>
      <w:pPr>
        <w:ind w:left="4320" w:hanging="180"/>
      </w:pPr>
    </w:lvl>
    <w:lvl w:ilvl="6" w:tplc="5DE2FC30" w:tentative="1">
      <w:start w:val="1"/>
      <w:numFmt w:val="decimal"/>
      <w:lvlText w:val="%7."/>
      <w:lvlJc w:val="left"/>
      <w:pPr>
        <w:ind w:left="5040" w:hanging="360"/>
      </w:pPr>
    </w:lvl>
    <w:lvl w:ilvl="7" w:tplc="77021C6A" w:tentative="1">
      <w:start w:val="1"/>
      <w:numFmt w:val="lowerLetter"/>
      <w:lvlText w:val="%8."/>
      <w:lvlJc w:val="left"/>
      <w:pPr>
        <w:ind w:left="5760" w:hanging="360"/>
      </w:pPr>
    </w:lvl>
    <w:lvl w:ilvl="8" w:tplc="66122F02"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65D"/>
    <w:rsid w:val="00107180"/>
    <w:rsid w:val="00260B8A"/>
    <w:rsid w:val="003042AA"/>
    <w:rsid w:val="0036079B"/>
    <w:rsid w:val="0089545C"/>
    <w:rsid w:val="00B16F76"/>
    <w:rsid w:val="00B97782"/>
    <w:rsid w:val="00BA1216"/>
    <w:rsid w:val="00BF465D"/>
    <w:rsid w:val="00C64697"/>
    <w:rsid w:val="00EC0F97"/>
    <w:rsid w:val="00ED2DC2"/>
    <w:rsid w:val="00EF1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ListNumber2"/>
    <w:qFormat/>
    <w:rsid w:val="0036079B"/>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ListNumber2">
    <w:name w:val="List Number_2"/>
    <w:basedOn w:val="Normal"/>
    <w:semiHidden/>
    <w:rsid w:val="0036079B"/>
    <w:pPr>
      <w:numPr>
        <w:numId w:val="1"/>
      </w:numPr>
      <w:jc w:val="both"/>
    </w:pPr>
    <w:rPr>
      <w:kern w:val="28"/>
      <w:sz w:val="22"/>
      <w:szCs w:val="20"/>
    </w:rPr>
  </w:style>
  <w:style w:type="paragraph" w:styleId="Footer">
    <w:name w:val="footer"/>
    <w:basedOn w:val="Footer"/>
    <w:next w:val="IASBFooter"/>
    <w:link w:val="FooterChar"/>
    <w:uiPriority w:val="99"/>
    <w:semiHidden/>
    <w:unhideWhenUsed/>
    <w:rsid w:val="0036079B"/>
  </w:style>
  <w:style w:type="character" w:customStyle="1" w:styleId="FooterChar">
    <w:name w:val="Footer Char"/>
    <w:basedOn w:val="DefaultParagraphFont"/>
    <w:link w:val="Footer"/>
    <w:uiPriority w:val="99"/>
    <w:semiHidden/>
    <w:rsid w:val="003607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F34BF-6385-45F5-BA8F-34337809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2023-03-29T18:39:00Z</dcterms:created>
  <dcterms:modified xsi:type="dcterms:W3CDTF">2023-03-29T18:39:00Z</dcterms:modified>
</cp:coreProperties>
</file>