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D3" w:rsidRDefault="00B37DD3" w:rsidP="00B37DD3">
      <w:pPr>
        <w:pStyle w:val="Header"/>
        <w:pBdr>
          <w:bottom w:val="single" w:sz="4" w:space="1" w:color="auto"/>
        </w:pBdr>
        <w:tabs>
          <w:tab w:val="clear" w:pos="4320"/>
          <w:tab w:val="clear" w:pos="8640"/>
          <w:tab w:val="right" w:pos="9000"/>
        </w:tabs>
      </w:pPr>
      <w:r>
        <w:t>January 2022</w:t>
      </w:r>
      <w:r>
        <w:tab/>
        <w:t>7:280-E2</w:t>
      </w:r>
    </w:p>
    <w:p w:rsidR="00B37DD3" w:rsidRDefault="00B37DD3" w:rsidP="00B37DD3">
      <w:pPr>
        <w:pStyle w:val="BodyText"/>
      </w:pPr>
    </w:p>
    <w:p w:rsidR="00B37DD3" w:rsidRDefault="00B37DD3" w:rsidP="00B37DD3">
      <w:pPr>
        <w:pStyle w:val="Heading1"/>
      </w:pPr>
      <w:r>
        <w:t>Students</w:t>
      </w:r>
    </w:p>
    <w:p w:rsidR="00B37DD3" w:rsidRDefault="00B37DD3" w:rsidP="00B37DD3">
      <w:pPr>
        <w:pStyle w:val="Heading2"/>
        <w:rPr>
          <w:u w:val="none"/>
        </w:rPr>
      </w:pPr>
      <w:r>
        <w:t>Exhibit - Reporting and Exclusion Requirements for Common Communicable Diseases</w:t>
      </w:r>
    </w:p>
    <w:p w:rsidR="00B37DD3" w:rsidRPr="008D1323" w:rsidRDefault="00B37DD3" w:rsidP="00B37DD3">
      <w:pPr>
        <w:pStyle w:val="BodyText"/>
      </w:pPr>
      <w:r w:rsidRPr="008D1323">
        <w:t>The following chart contains requirements from rules adopted by the Ill. Dept. of Public Health (IDPH). They provide routine measures for the control of communicable</w:t>
      </w:r>
      <w:r w:rsidRPr="00D03BFA">
        <w:t xml:space="preserve"> </w:t>
      </w:r>
      <w:r w:rsidRPr="008D1323">
        <w:t xml:space="preserve">diseases by establishing progressive initiatives for implementing disease-reporting and exclusions measures. School personnel must notify </w:t>
      </w:r>
      <w:r w:rsidRPr="00D03BFA">
        <w:rPr>
          <w:rStyle w:val="FootnoteReference"/>
          <w:b w:val="0"/>
        </w:rPr>
        <w:t>the local health authority if they have knowledge of a known or suspected case or carrier of communicable disease</w:t>
      </w:r>
      <w:r w:rsidRPr="008D1323">
        <w:t xml:space="preserve">, and such reports must be kept confidential. 77 </w:t>
      </w:r>
      <w:proofErr w:type="spellStart"/>
      <w:r w:rsidRPr="008D1323">
        <w:t>Ill.Admin.Code</w:t>
      </w:r>
      <w:proofErr w:type="spellEnd"/>
      <w:r w:rsidRPr="008D1323">
        <w:t xml:space="preserve"> §690.200</w:t>
      </w:r>
      <w:r w:rsidRPr="00D03BFA">
        <w:rPr>
          <w:rStyle w:val="FootnoteReference"/>
          <w:b w:val="0"/>
        </w:rPr>
        <w:t>.</w:t>
      </w:r>
    </w:p>
    <w:p w:rsidR="00B37DD3" w:rsidRPr="00697AEC" w:rsidRDefault="00B37DD3" w:rsidP="00B37DD3">
      <w:pPr>
        <w:pStyle w:val="SUBHEADING"/>
        <w:spacing w:before="60" w:after="0"/>
      </w:pPr>
      <w:r w:rsidRPr="00697AEC">
        <w:t>Diseases and Conditions</w:t>
      </w:r>
      <w:r>
        <w:t xml:space="preserve">, 77 </w:t>
      </w:r>
      <w:proofErr w:type="spellStart"/>
      <w:r>
        <w:t>Ill.Admin.Code</w:t>
      </w:r>
      <w:proofErr w:type="spellEnd"/>
      <w:r>
        <w:t xml:space="preserve"> §690.100</w:t>
      </w:r>
    </w:p>
    <w:p w:rsidR="00B37DD3" w:rsidRPr="00C72589" w:rsidRDefault="00B37DD3" w:rsidP="00B37DD3">
      <w:pPr>
        <w:pStyle w:val="BodyText"/>
      </w:pPr>
      <w:r w:rsidRPr="00697AEC">
        <w:t>The following are declared to be contagious, infectious, or communicable and may be dangerous to the public health.</w:t>
      </w:r>
      <w:r>
        <w:t xml:space="preserve"> </w:t>
      </w:r>
      <w:r w:rsidRPr="00697AEC">
        <w:t>The Section number associated with</w:t>
      </w:r>
      <w:r>
        <w:t xml:space="preserve"> </w:t>
      </w:r>
      <w:r w:rsidRPr="00697AEC">
        <w:t>the listed diseases indicates the Section of the rules explaining the reportable disease.</w:t>
      </w:r>
      <w:r>
        <w:t xml:space="preserve"> </w:t>
      </w:r>
      <w:r w:rsidRPr="00697AEC">
        <w:t>Diseases and conditions are listed alphabetically by class.</w:t>
      </w:r>
      <w:r w:rsidRPr="003E0C98">
        <w:t xml:space="preserve"> </w:t>
      </w:r>
      <w:r w:rsidRPr="00697AEC">
        <w:t xml:space="preserve">Every class has a different timeframe </w:t>
      </w:r>
      <w:r>
        <w:t xml:space="preserve">for mandatory reporting </w:t>
      </w:r>
      <w:r w:rsidRPr="00697AEC">
        <w:t xml:space="preserve">to </w:t>
      </w:r>
      <w:r>
        <w:t>IDPH.</w:t>
      </w:r>
    </w:p>
    <w:p w:rsidR="00B37DD3" w:rsidRPr="00C72589" w:rsidRDefault="00B37DD3" w:rsidP="00B37DD3">
      <w:pPr>
        <w:pStyle w:val="BodyText"/>
        <w:rPr>
          <w:szCs w:val="22"/>
        </w:rPr>
      </w:pPr>
      <w:r w:rsidRPr="00C72589">
        <w:rPr>
          <w:i/>
          <w:szCs w:val="22"/>
        </w:rPr>
        <w:t>Standard precautions</w:t>
      </w:r>
      <w:r w:rsidRPr="00C72589">
        <w:rPr>
          <w:szCs w:val="22"/>
        </w:rPr>
        <w:t xml:space="preserve"> refers to infection prevention and control measures for healthcare settings that apply to all patients regardless of diagnosis or presumed infection status. 77 </w:t>
      </w:r>
      <w:proofErr w:type="spellStart"/>
      <w:r w:rsidRPr="00C72589">
        <w:rPr>
          <w:szCs w:val="22"/>
        </w:rPr>
        <w:t>Ill.Admin.Code</w:t>
      </w:r>
      <w:proofErr w:type="spellEnd"/>
      <w:r w:rsidRPr="00C72589">
        <w:rPr>
          <w:szCs w:val="22"/>
        </w:rPr>
        <w:t xml:space="preserve"> §690.10.</w:t>
      </w:r>
    </w:p>
    <w:p w:rsidR="00B37DD3" w:rsidRPr="00C72589" w:rsidRDefault="00B37DD3" w:rsidP="00B37DD3">
      <w:pPr>
        <w:pStyle w:val="BodyText"/>
        <w:rPr>
          <w:szCs w:val="22"/>
        </w:rPr>
      </w:pPr>
      <w:r w:rsidRPr="00C72589">
        <w:rPr>
          <w:i/>
          <w:szCs w:val="22"/>
        </w:rPr>
        <w:t xml:space="preserve">Contact precautions </w:t>
      </w:r>
      <w:r w:rsidRPr="00C72589">
        <w:rPr>
          <w:szCs w:val="22"/>
        </w:rPr>
        <w:t xml:space="preserve">refers to </w:t>
      </w:r>
      <w:r w:rsidRPr="00C72589">
        <w:rPr>
          <w:color w:val="000000"/>
          <w:szCs w:val="22"/>
        </w:rPr>
        <w:t xml:space="preserve">infection control measures for healthcare settings designed to reduce the risk of transmission of infectious agents that can be spread through direct contact with the patient or indirect contact with potentially infectious items or surfaces. </w:t>
      </w:r>
      <w:r w:rsidRPr="00C72589">
        <w:rPr>
          <w:szCs w:val="22"/>
        </w:rPr>
        <w:t xml:space="preserve">77 </w:t>
      </w:r>
      <w:proofErr w:type="spellStart"/>
      <w:r w:rsidRPr="00C72589">
        <w:rPr>
          <w:szCs w:val="22"/>
        </w:rPr>
        <w:t>Ill.Admin.Code</w:t>
      </w:r>
      <w:proofErr w:type="spellEnd"/>
      <w:r w:rsidRPr="00C72589">
        <w:rPr>
          <w:szCs w:val="22"/>
        </w:rPr>
        <w:t xml:space="preserve"> §690.10.</w:t>
      </w:r>
    </w:p>
    <w:p w:rsidR="00B37DD3" w:rsidRDefault="00B37DD3" w:rsidP="00B37DD3">
      <w:pPr>
        <w:pStyle w:val="BodyText"/>
        <w:rPr>
          <w:szCs w:val="22"/>
        </w:rPr>
      </w:pPr>
      <w:r w:rsidRPr="00C72589">
        <w:rPr>
          <w:i/>
          <w:szCs w:val="22"/>
        </w:rPr>
        <w:t xml:space="preserve">Droplet precautions </w:t>
      </w:r>
      <w:r w:rsidRPr="00C72589">
        <w:rPr>
          <w:szCs w:val="22"/>
        </w:rPr>
        <w:t xml:space="preserve">refers to </w:t>
      </w:r>
      <w:r w:rsidRPr="00C72589">
        <w:rPr>
          <w:color w:val="000000"/>
          <w:szCs w:val="22"/>
        </w:rPr>
        <w:t xml:space="preserve">infection control measures for healthcare settings designed to reduce the risk of transmission of infectious agents via large particle droplets that do not remain suspended in the air and are usually generated by coughing, sneezing, or talking. </w:t>
      </w:r>
      <w:r w:rsidRPr="00C72589">
        <w:rPr>
          <w:szCs w:val="22"/>
        </w:rPr>
        <w:t xml:space="preserve">77 </w:t>
      </w:r>
      <w:proofErr w:type="spellStart"/>
      <w:r w:rsidRPr="00C72589">
        <w:rPr>
          <w:szCs w:val="22"/>
        </w:rPr>
        <w:t>Ill.Admin.Code</w:t>
      </w:r>
      <w:proofErr w:type="spellEnd"/>
      <w:r w:rsidRPr="00C72589">
        <w:rPr>
          <w:szCs w:val="22"/>
        </w:rPr>
        <w:t xml:space="preserve"> §690.10.</w:t>
      </w:r>
    </w:p>
    <w:p w:rsidR="00B37DD3" w:rsidRPr="0009712E" w:rsidRDefault="00B37DD3" w:rsidP="00B37DD3">
      <w:pPr>
        <w:pStyle w:val="BodyText"/>
        <w:rPr>
          <w:szCs w:val="22"/>
        </w:rPr>
      </w:pPr>
      <w:r>
        <w:rPr>
          <w:i/>
          <w:szCs w:val="22"/>
        </w:rPr>
        <w:t>Case</w:t>
      </w:r>
      <w:r>
        <w:rPr>
          <w:szCs w:val="22"/>
        </w:rPr>
        <w:t xml:space="preserve"> refers to any living or deceased person having a recent illness due to a communicable disease. 77 </w:t>
      </w:r>
      <w:proofErr w:type="spellStart"/>
      <w:r>
        <w:rPr>
          <w:szCs w:val="22"/>
        </w:rPr>
        <w:t>Ill.Admin.Code</w:t>
      </w:r>
      <w:proofErr w:type="spellEnd"/>
      <w:r>
        <w:rPr>
          <w:szCs w:val="22"/>
        </w:rPr>
        <w:t xml:space="preserve"> §690.10.</w:t>
      </w:r>
    </w:p>
    <w:p w:rsidR="00B37DD3" w:rsidRPr="00697AEC" w:rsidRDefault="00B37DD3" w:rsidP="00B37DD3">
      <w:pPr>
        <w:pStyle w:val="SUBHEADING"/>
        <w:spacing w:before="60" w:after="0"/>
      </w:pPr>
      <w:r w:rsidRPr="00697AEC">
        <w:t>Class I(a)</w:t>
      </w:r>
      <w:r>
        <w:t xml:space="preserve"> Diseases</w:t>
      </w:r>
    </w:p>
    <w:p w:rsidR="00B37DD3" w:rsidRPr="00BA4489" w:rsidRDefault="00B37DD3" w:rsidP="00B37DD3">
      <w:pPr>
        <w:pStyle w:val="BodyText"/>
      </w:pPr>
      <w:r w:rsidRPr="008D1323">
        <w:t>The following diseases shall be reported by telephone immediately (within three</w:t>
      </w:r>
      <w:r w:rsidRPr="00BA4489">
        <w:t xml:space="preserve"> hours) upon initial clinical suspicion of the disease to the local health authority, who shall then report to IDPH immediately (within three hours).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7"/>
        <w:gridCol w:w="5400"/>
      </w:tblGrid>
      <w:tr w:rsidR="00B37DD3" w:rsidRPr="0019749E" w:rsidTr="000915F8">
        <w:trPr>
          <w:tblHeader/>
        </w:trPr>
        <w:tc>
          <w:tcPr>
            <w:tcW w:w="3607"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Disease</w:t>
            </w:r>
          </w:p>
        </w:tc>
        <w:tc>
          <w:tcPr>
            <w:tcW w:w="5400"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Precaution and Exclusion Rules</w:t>
            </w:r>
          </w:p>
        </w:tc>
      </w:tr>
      <w:tr w:rsidR="00B37DD3" w:rsidRPr="0019749E" w:rsidTr="000915F8">
        <w:tc>
          <w:tcPr>
            <w:tcW w:w="3607" w:type="dxa"/>
          </w:tcPr>
          <w:p w:rsidR="00B37DD3" w:rsidRPr="00E60E0B" w:rsidRDefault="00B37DD3" w:rsidP="000915F8">
            <w:pPr>
              <w:pStyle w:val="BodyText"/>
              <w:jc w:val="left"/>
              <w:rPr>
                <w:kern w:val="0"/>
                <w:szCs w:val="22"/>
                <w:lang w:val="en-US" w:eastAsia="en-US"/>
              </w:rPr>
            </w:pPr>
            <w:r w:rsidRPr="00E60E0B">
              <w:rPr>
                <w:kern w:val="0"/>
                <w:szCs w:val="22"/>
                <w:lang w:val="en-US" w:eastAsia="en-US"/>
              </w:rPr>
              <w:t xml:space="preserve">Any unusual case of a disease or condition caused by an infectious agent not listed in IDPH regulations that is of urgent public health significance (including, but not limited to, cowpox, Reye’s syndrome, </w:t>
            </w:r>
            <w:proofErr w:type="spellStart"/>
            <w:r w:rsidRPr="00E60E0B">
              <w:rPr>
                <w:kern w:val="0"/>
                <w:szCs w:val="22"/>
                <w:lang w:val="en-US" w:eastAsia="en-US"/>
              </w:rPr>
              <w:t>glanders</w:t>
            </w:r>
            <w:proofErr w:type="spellEnd"/>
            <w:r w:rsidRPr="00E60E0B">
              <w:rPr>
                <w:kern w:val="0"/>
                <w:szCs w:val="22"/>
                <w:lang w:val="en-US" w:eastAsia="en-US"/>
              </w:rPr>
              <w:t xml:space="preserve">, amoebic meningoencephalitis, </w:t>
            </w:r>
            <w:proofErr w:type="spellStart"/>
            <w:r w:rsidRPr="00E60E0B">
              <w:rPr>
                <w:kern w:val="0"/>
                <w:szCs w:val="22"/>
                <w:lang w:val="en-US" w:eastAsia="en-US"/>
              </w:rPr>
              <w:t>orf</w:t>
            </w:r>
            <w:proofErr w:type="spellEnd"/>
            <w:r w:rsidRPr="00E60E0B">
              <w:rPr>
                <w:kern w:val="0"/>
                <w:szCs w:val="22"/>
                <w:lang w:val="en-US" w:eastAsia="en-US"/>
              </w:rPr>
              <w:t xml:space="preserve">, </w:t>
            </w:r>
            <w:proofErr w:type="spellStart"/>
            <w:r w:rsidRPr="00E60E0B">
              <w:rPr>
                <w:kern w:val="0"/>
                <w:szCs w:val="22"/>
                <w:lang w:val="en-US" w:eastAsia="en-US"/>
              </w:rPr>
              <w:t>monkeypox</w:t>
            </w:r>
            <w:proofErr w:type="spellEnd"/>
            <w:r w:rsidRPr="00E60E0B">
              <w:rPr>
                <w:kern w:val="0"/>
                <w:szCs w:val="22"/>
                <w:lang w:val="en-US" w:eastAsia="en-US"/>
              </w:rPr>
              <w:t>, hemorrhagic fever viruses, infection from a laboratory-acquired recombinant organism, or any disease non-indigenous to the United States), §690.295</w:t>
            </w:r>
          </w:p>
        </w:tc>
        <w:tc>
          <w:tcPr>
            <w:tcW w:w="5400" w:type="dxa"/>
          </w:tcPr>
          <w:p w:rsidR="00B37DD3" w:rsidRPr="00E60E0B" w:rsidRDefault="00B37DD3" w:rsidP="000915F8">
            <w:pPr>
              <w:pStyle w:val="BodyText"/>
              <w:jc w:val="left"/>
              <w:rPr>
                <w:kern w:val="0"/>
                <w:szCs w:val="22"/>
                <w:lang w:val="en-US" w:eastAsia="en-US"/>
              </w:rPr>
            </w:pPr>
            <w:r w:rsidRPr="00E60E0B">
              <w:rPr>
                <w:kern w:val="0"/>
                <w:szCs w:val="22"/>
                <w:lang w:val="en-US" w:eastAsia="en-US"/>
              </w:rPr>
              <w:t>Contacts shall be evaluated to determine the need for quarantine.  The local health authority shall implement appropriate control measures.</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Anthrax, §690.320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color w:val="000000"/>
                <w:szCs w:val="22"/>
                <w:lang w:val="en-US" w:eastAsia="en-US"/>
              </w:rPr>
              <w:t xml:space="preserve">Standard precautions shall be followed. Contact precautions shall be followed for care of persons with cutaneous anthrax when dressing does not adequately </w:t>
            </w:r>
            <w:r w:rsidRPr="00E60E0B">
              <w:rPr>
                <w:color w:val="000000"/>
                <w:szCs w:val="22"/>
                <w:lang w:val="en-US" w:eastAsia="en-US"/>
              </w:rPr>
              <w:lastRenderedPageBreak/>
              <w:t>contain drainage.</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No restrictions if exposure is from infected animals or animal products.</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If there is a suspected bioterrorist threat or event, contacts will be evaluated to determine need for quarantine.</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lastRenderedPageBreak/>
              <w:t>Botulism, Foodborne, Intestinal, §690.327</w:t>
            </w:r>
          </w:p>
        </w:tc>
        <w:tc>
          <w:tcPr>
            <w:tcW w:w="5400" w:type="dxa"/>
          </w:tcPr>
          <w:p w:rsidR="00B37DD3" w:rsidRPr="00E60E0B" w:rsidRDefault="00B37DD3" w:rsidP="000915F8">
            <w:pPr>
              <w:pStyle w:val="BodyText"/>
              <w:spacing w:before="20" w:after="20"/>
              <w:jc w:val="left"/>
              <w:rPr>
                <w:color w:val="000000"/>
                <w:kern w:val="0"/>
                <w:szCs w:val="22"/>
                <w:lang w:val="en-US" w:eastAsia="en-US"/>
              </w:rPr>
            </w:pPr>
            <w:r w:rsidRPr="00E60E0B">
              <w:rPr>
                <w:color w:val="000000"/>
                <w:kern w:val="0"/>
                <w:szCs w:val="22"/>
                <w:lang w:val="en-US" w:eastAsia="en-US"/>
              </w:rPr>
              <w:t>Standard precautions shall be followed. No restrictions.</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Brucellosis (if suspected to be a bioterrorist event or part of an outbreak), §690.330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Standard precautions shall be followed. Contact precautions shall be followed when dressing does not adequately contain drainage.</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Coronavirus, Novel, including Coronavirus Disease 19 (COVID-19), Severe Acute Respiratory Syndrome (SARS), and Middle Eastern Respiratory Syndrome (MERS) §690.361</w:t>
            </w:r>
          </w:p>
        </w:tc>
        <w:tc>
          <w:tcPr>
            <w:tcW w:w="5400" w:type="dxa"/>
          </w:tcPr>
          <w:p w:rsidR="00B37DD3" w:rsidRPr="00E60E0B" w:rsidRDefault="00B37DD3" w:rsidP="000915F8">
            <w:pPr>
              <w:pStyle w:val="BodyText"/>
              <w:spacing w:before="20" w:after="20"/>
              <w:rPr>
                <w:kern w:val="0"/>
                <w:szCs w:val="22"/>
                <w:lang w:val="en-US" w:eastAsia="en-US"/>
              </w:rPr>
            </w:pPr>
            <w:r w:rsidRPr="00E60E0B">
              <w:rPr>
                <w:kern w:val="0"/>
                <w:szCs w:val="22"/>
                <w:lang w:val="en-US" w:eastAsia="en-US"/>
              </w:rPr>
              <w:t xml:space="preserve">Standard Precautions, Contact Precautions, Droplet Precautions including eye protection, and Airborne Infection Isolation Precautions shall be followed for cases or suspect cases in a </w:t>
            </w:r>
            <w:r w:rsidRPr="00E60E0B">
              <w:rPr>
                <w:i/>
                <w:kern w:val="0"/>
                <w:szCs w:val="22"/>
                <w:lang w:val="en-US" w:eastAsia="en-US"/>
              </w:rPr>
              <w:t>health care facility</w:t>
            </w:r>
            <w:r w:rsidRPr="00E60E0B">
              <w:rPr>
                <w:kern w:val="0"/>
                <w:szCs w:val="22"/>
                <w:lang w:val="en-US" w:eastAsia="en-US"/>
              </w:rPr>
              <w:t xml:space="preserve"> (includes any public or private building or portion of a building used, operated, or designed to provide health services, medical treatment or nursing, rehabilitative or preventative care. 77 Ill. Admin. Code §690.10).</w:t>
            </w:r>
          </w:p>
          <w:p w:rsidR="00B37DD3" w:rsidRPr="00E60E0B" w:rsidRDefault="00B37DD3" w:rsidP="000915F8">
            <w:pPr>
              <w:pStyle w:val="BodyText"/>
              <w:spacing w:before="20" w:after="20"/>
              <w:rPr>
                <w:kern w:val="0"/>
                <w:szCs w:val="22"/>
                <w:lang w:val="en-US" w:eastAsia="en-US"/>
              </w:rPr>
            </w:pPr>
            <w:r w:rsidRPr="00E60E0B">
              <w:rPr>
                <w:kern w:val="0"/>
                <w:szCs w:val="22"/>
                <w:lang w:val="en-US" w:eastAsia="en-US"/>
              </w:rPr>
              <w:t>All cases, including suspect cases, should be isolated at home or in an alternative setting for housing.</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Contacts shall be placed under surveillance and may be quarantined, with close observation for fever and COVID-like respiratory symptoms in consultation with IDPH or the local health department.</w:t>
            </w:r>
          </w:p>
          <w:p w:rsidR="00B37DD3" w:rsidRPr="00E60E0B" w:rsidRDefault="00B37DD3" w:rsidP="000915F8">
            <w:pPr>
              <w:pStyle w:val="BodyText"/>
              <w:spacing w:before="20" w:after="20"/>
              <w:jc w:val="left"/>
              <w:rPr>
                <w:b/>
                <w:kern w:val="0"/>
                <w:szCs w:val="22"/>
                <w:lang w:val="en-US" w:eastAsia="en-US"/>
              </w:rPr>
            </w:pPr>
            <w:r w:rsidRPr="00E60E0B">
              <w:rPr>
                <w:b/>
                <w:kern w:val="0"/>
                <w:szCs w:val="22"/>
                <w:lang w:val="en-US" w:eastAsia="en-US"/>
              </w:rPr>
              <w:t xml:space="preserve">IDPH has frequently updated its school exclusion guidance and rules for COVID-19 during the COVID-19 pandemic; school personnel should monitor them regularly: </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Guidance - </w:t>
            </w:r>
            <w:hyperlink r:id="rId8" w:history="1">
              <w:r w:rsidRPr="00E60E0B">
                <w:rPr>
                  <w:rStyle w:val="Hyperlink"/>
                  <w:kern w:val="0"/>
                  <w:szCs w:val="22"/>
                  <w:lang w:val="en-US" w:eastAsia="en-US"/>
                </w:rPr>
                <w:t>www.dph.illinois.gov/covid19/community-guidance/school-guidance</w:t>
              </w:r>
            </w:hyperlink>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Rules - </w:t>
            </w:r>
            <w:hyperlink r:id="rId9" w:history="1">
              <w:r w:rsidRPr="00E60E0B">
                <w:rPr>
                  <w:rStyle w:val="Hyperlink"/>
                  <w:kern w:val="0"/>
                  <w:szCs w:val="22"/>
                  <w:lang w:val="en-US" w:eastAsia="en-US"/>
                </w:rPr>
                <w:t>www.dph.illinois.gov/covid19/governor-pritzkers-executive-orders-and-rules</w:t>
              </w:r>
            </w:hyperlink>
            <w:r w:rsidRPr="00E60E0B">
              <w:rPr>
                <w:kern w:val="0"/>
                <w:szCs w:val="22"/>
                <w:lang w:val="en-US" w:eastAsia="en-US"/>
              </w:rPr>
              <w:t xml:space="preserve"> </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Diphtheria, §690.380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Standard precautions shall be followed until two successive cultures from both throat and nose (and skin lesions in cutaneous diphtheria) are negative for diphtheria bacilli or when a virulence test proves the bacilli to be </w:t>
            </w:r>
            <w:proofErr w:type="spellStart"/>
            <w:r w:rsidRPr="00E60E0B">
              <w:rPr>
                <w:kern w:val="0"/>
                <w:szCs w:val="22"/>
                <w:lang w:val="en-US" w:eastAsia="en-US"/>
              </w:rPr>
              <w:t>avirulent</w:t>
            </w:r>
            <w:proofErr w:type="spellEnd"/>
            <w:r w:rsidRPr="00E60E0B">
              <w:rPr>
                <w:kern w:val="0"/>
                <w:szCs w:val="22"/>
                <w:lang w:val="en-US" w:eastAsia="en-US"/>
              </w:rPr>
              <w:t xml:space="preserve">. The first culture shall be taken not less than 24 hours after completion of antibiotic therapy and the second culture shall be taken not less than 24 hours after the first. </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Influenza A, Novel Virus, §690.469</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Standard precautions, including routine use of eye protection, and droplet precautions shall be followed for patients in health care settings, e.g., hospitals, long-term care facilities, outpatient offices, emergency transport vehicles. </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Control of contacts is based on transmissibility and severity of the illness that caused the influenza strain.</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lastRenderedPageBreak/>
              <w:t>(</w:t>
            </w:r>
            <w:r w:rsidRPr="00E60E0B">
              <w:rPr>
                <w:szCs w:val="22"/>
                <w:lang w:val="en-US" w:eastAsia="en-US"/>
              </w:rPr>
              <w:t xml:space="preserve">See the f/ns of policy 4:180, </w:t>
            </w:r>
            <w:r w:rsidRPr="00E60E0B">
              <w:rPr>
                <w:i/>
                <w:szCs w:val="22"/>
                <w:lang w:val="en-US" w:eastAsia="en-US"/>
              </w:rPr>
              <w:t>Pandemic Preparedness; Management; and Recovery</w:t>
            </w:r>
            <w:r w:rsidRPr="00E60E0B">
              <w:rPr>
                <w:szCs w:val="22"/>
                <w:lang w:val="en-US" w:eastAsia="en-US"/>
              </w:rPr>
              <w:t xml:space="preserve">, for information and resources regarding influenza epidemics in schools; 4:180-AP1, </w:t>
            </w:r>
            <w:r w:rsidRPr="00E60E0B">
              <w:rPr>
                <w:i/>
                <w:szCs w:val="22"/>
                <w:lang w:val="en-US" w:eastAsia="en-US"/>
              </w:rPr>
              <w:t>School Action Steps for Pandemic Influenza or Other Virus/Disease</w:t>
            </w:r>
            <w:r w:rsidRPr="00E60E0B">
              <w:rPr>
                <w:szCs w:val="22"/>
                <w:lang w:val="en-US" w:eastAsia="en-US"/>
              </w:rPr>
              <w:t xml:space="preserve">; and 4:180-AP2, </w:t>
            </w:r>
            <w:r w:rsidRPr="00E60E0B">
              <w:rPr>
                <w:i/>
                <w:szCs w:val="22"/>
                <w:lang w:val="en-US" w:eastAsia="en-US"/>
              </w:rPr>
              <w:t>Pandemic Influenza Surveillance and Reporting</w:t>
            </w:r>
            <w:r w:rsidRPr="00E60E0B">
              <w:rPr>
                <w:szCs w:val="22"/>
                <w:lang w:val="en-US" w:eastAsia="en-US"/>
              </w:rPr>
              <w:t>.)</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lastRenderedPageBreak/>
              <w:t>Plague, §690.570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Standard precautions shall be followed. For all patients, droplet precautions shall be followed until pneumonia has been determined not to be present.</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For patients with pneumonic plague, droplet precautions shall be followed until 48 hours after initiation of effective antimicrobial therapy and the patient has a favorable clinical response. Antimicrobial susceptibility testing is recommended.</w:t>
            </w:r>
          </w:p>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A strict, seven day quarantine is required for contacts to pneumonic plague </w:t>
            </w:r>
            <w:proofErr w:type="gramStart"/>
            <w:r w:rsidRPr="00E60E0B">
              <w:rPr>
                <w:kern w:val="0"/>
                <w:szCs w:val="22"/>
                <w:lang w:val="en-US" w:eastAsia="en-US"/>
              </w:rPr>
              <w:t>who</w:t>
            </w:r>
            <w:proofErr w:type="gramEnd"/>
            <w:r w:rsidRPr="00E60E0B">
              <w:rPr>
                <w:kern w:val="0"/>
                <w:szCs w:val="22"/>
                <w:lang w:val="en-US" w:eastAsia="en-US"/>
              </w:rPr>
              <w:t xml:space="preserve"> refuse chemoprophylaxis.</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Poliomyelitis, §690.580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Occurrence of a single case of poliomyelitis due to wild polio virus shall be recognized as a public health emergency, prompting immediate investigation and response. </w:t>
            </w:r>
          </w:p>
          <w:p w:rsidR="00B37DD3" w:rsidRPr="00E60E0B" w:rsidRDefault="00B37DD3" w:rsidP="000915F8">
            <w:pPr>
              <w:pStyle w:val="BodyText"/>
              <w:spacing w:before="20" w:after="20"/>
              <w:jc w:val="left"/>
              <w:rPr>
                <w:kern w:val="0"/>
                <w:szCs w:val="22"/>
                <w:lang w:val="en-US" w:eastAsia="en-US"/>
              </w:rPr>
            </w:pPr>
            <w:r w:rsidRPr="00E60E0B">
              <w:rPr>
                <w:color w:val="000000"/>
                <w:szCs w:val="22"/>
                <w:lang w:val="en-US" w:eastAsia="en-US"/>
              </w:rPr>
              <w:t>Standard precautions shall be followed. Contact precautions shall be followed for diapered or incontinent persons or during institutional outbreaks for the duration of hospitalization.</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Q-fever (if suspected to be a bioterrorist event or part of an outbreak), §690.595</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Smallpox, §690.650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Post-exposure immunization, within three to four days after exposure, provides some protection against disease and significant protection against a fatal outcome. Any person with significant exposure to a person with probable or confirmed smallpox during the infectious stage of illness requires immunization as soon after exposure as possible, but within the first four days after exposure.</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Tularemia (if suspected to be a bioterrorist event or part of an outbreak), §690.725</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Standard precautions shall be followed.</w:t>
            </w:r>
          </w:p>
        </w:tc>
      </w:tr>
      <w:tr w:rsidR="00B37DD3" w:rsidRPr="0019749E" w:rsidTr="000915F8">
        <w:tc>
          <w:tcPr>
            <w:tcW w:w="3607"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Any suspected bioterrorist threat or event, §690.800</w:t>
            </w:r>
          </w:p>
        </w:tc>
        <w:tc>
          <w:tcPr>
            <w:tcW w:w="5400" w:type="dxa"/>
          </w:tcPr>
          <w:p w:rsidR="00B37DD3" w:rsidRPr="00E60E0B" w:rsidRDefault="00B37DD3" w:rsidP="000915F8">
            <w:pPr>
              <w:pStyle w:val="BodyText"/>
              <w:spacing w:before="20" w:after="20"/>
              <w:jc w:val="left"/>
              <w:rPr>
                <w:kern w:val="0"/>
                <w:szCs w:val="22"/>
                <w:lang w:val="en-US" w:eastAsia="en-US"/>
              </w:rPr>
            </w:pPr>
            <w:r w:rsidRPr="00E60E0B">
              <w:rPr>
                <w:kern w:val="0"/>
                <w:szCs w:val="22"/>
                <w:lang w:val="en-US" w:eastAsia="en-US"/>
              </w:rPr>
              <w:t xml:space="preserve">Cases and contacts shall be evaluated to determine need for isolation. </w:t>
            </w:r>
          </w:p>
        </w:tc>
      </w:tr>
    </w:tbl>
    <w:p w:rsidR="00B37DD3" w:rsidRPr="00BA4489" w:rsidRDefault="00B37DD3" w:rsidP="00B37DD3">
      <w:pPr>
        <w:pStyle w:val="SUBHEADING"/>
      </w:pPr>
      <w:r w:rsidRPr="00BA4489">
        <w:t>Class I(b) Diseases</w:t>
      </w:r>
    </w:p>
    <w:p w:rsidR="00B37DD3" w:rsidRPr="00BA4489" w:rsidRDefault="00B37DD3" w:rsidP="00B37DD3">
      <w:pPr>
        <w:pStyle w:val="BodyText"/>
      </w:pPr>
      <w:r w:rsidRPr="00BA4489">
        <w:t>The following diseases shall be reported as soon as possible during normal business hours by telephone (some rules state that facsimile or electronic reporting are also acceptable, the Disease column indicates “F”</w:t>
      </w:r>
      <w:r w:rsidRPr="00671931">
        <w:t xml:space="preserve"> for facsimile or “E</w:t>
      </w:r>
      <w:r w:rsidRPr="00860338">
        <w:t>” for electronic in those i</w:t>
      </w:r>
      <w:r w:rsidRPr="00E33291">
        <w:t>nstances</w:t>
      </w:r>
      <w:r w:rsidRPr="00BA4489">
        <w:t>), but within 24 hours, i.e., within eight regularly scheduled business hours after identifying the case, to the local health authority, who shall then report to IDPH as soon as possible, but within 24 hours.</w:t>
      </w:r>
    </w:p>
    <w:tbl>
      <w:tblPr>
        <w:tblW w:w="90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7"/>
        <w:gridCol w:w="5400"/>
      </w:tblGrid>
      <w:tr w:rsidR="00B37DD3" w:rsidRPr="0019749E" w:rsidTr="000915F8">
        <w:trPr>
          <w:tblHeader/>
        </w:trPr>
        <w:tc>
          <w:tcPr>
            <w:tcW w:w="3607"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Disease</w:t>
            </w:r>
          </w:p>
        </w:tc>
        <w:tc>
          <w:tcPr>
            <w:tcW w:w="5400"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Precaution and Exclusion Rules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lastRenderedPageBreak/>
              <w:t>Botulism (intestinal, wound and other), §690.327</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shall be followed. No restrictions.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color w:val="000000"/>
                <w:szCs w:val="22"/>
                <w:lang w:val="en-US" w:eastAsia="en-US"/>
              </w:rPr>
              <w:t>Brucellosis (not part of suspected bioterrorist event or part of an outbreak)</w:t>
            </w:r>
            <w:r w:rsidRPr="00E60E0B">
              <w:rPr>
                <w:kern w:val="0"/>
                <w:szCs w:val="22"/>
                <w:lang w:val="en-US" w:eastAsia="en-US"/>
              </w:rPr>
              <w:t>, §</w:t>
            </w:r>
            <w:r w:rsidRPr="00E60E0B">
              <w:rPr>
                <w:color w:val="000000"/>
                <w:szCs w:val="22"/>
                <w:lang w:val="en-US" w:eastAsia="en-US"/>
              </w:rPr>
              <w:t>690.330</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color w:val="000000"/>
                <w:szCs w:val="22"/>
                <w:lang w:val="en-US" w:eastAsia="en-US"/>
              </w:rPr>
              <w:t>Standard precautions shall be followed. Contact precautions shall be followed when dressing does not adequately contain drainage.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Chickenpox (Varicella), §690.350 (F or E)</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Children shall be excluded from school or child care facilities for a minimum of five days after the appearance of eruption or until vesicles become dry.</w:t>
            </w:r>
          </w:p>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Standard precautions, contact precautions and airborne infection isolation precautions shall be followed for patients in a health care facility until all lesions are dry and crusted. </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Cholera, §690.360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shall be followed. Contact precautions shall be followed for diapered or incontinent persons or during institutional outbreaks until absence of diarrhea for 24 hours.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Escherichia coli infections (E. coli O157:H7 and other Shiga toxin-producing E. coli), §690.400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 xml:space="preserve"> Cases shall avoid public swimming pools while symptomatic and for two weeks after the date diarrhea has ceased. Specific precautions for food handlers must be followed.</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proofErr w:type="spellStart"/>
            <w:r w:rsidRPr="00E60E0B">
              <w:rPr>
                <w:kern w:val="0"/>
                <w:szCs w:val="22"/>
                <w:lang w:val="en-US" w:eastAsia="en-US"/>
              </w:rPr>
              <w:t>Haemophilus</w:t>
            </w:r>
            <w:proofErr w:type="spellEnd"/>
            <w:r w:rsidRPr="00E60E0B">
              <w:rPr>
                <w:kern w:val="0"/>
                <w:szCs w:val="22"/>
                <w:lang w:val="en-US" w:eastAsia="en-US"/>
              </w:rPr>
              <w:t xml:space="preserve"> </w:t>
            </w:r>
            <w:proofErr w:type="spellStart"/>
            <w:r w:rsidRPr="00E60E0B">
              <w:rPr>
                <w:kern w:val="0"/>
                <w:szCs w:val="22"/>
                <w:lang w:val="en-US" w:eastAsia="en-US"/>
              </w:rPr>
              <w:t>influenzae</w:t>
            </w:r>
            <w:proofErr w:type="spellEnd"/>
            <w:r w:rsidRPr="00E60E0B">
              <w:rPr>
                <w:kern w:val="0"/>
                <w:szCs w:val="22"/>
                <w:lang w:val="en-US" w:eastAsia="en-US"/>
              </w:rPr>
              <w:t>, meningitis and other invasive disease, §690.441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and droplet precautions shall be followed. Droplet precautions shall be followed until 24 hours after initiation of effective antimicrobial therapy.</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Hantavirus pulmonary syndrome, §690.442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Hemolytic uremic syndrome, post-diarrheal, §690.444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 xml:space="preserve">See requirements for the applicable disease that preceded the HUS (when preceding cases are either </w:t>
            </w:r>
            <w:proofErr w:type="spellStart"/>
            <w:r w:rsidRPr="00E60E0B">
              <w:rPr>
                <w:kern w:val="0"/>
                <w:szCs w:val="22"/>
                <w:lang w:val="en-US" w:eastAsia="en-US"/>
              </w:rPr>
              <w:t>E.Coli</w:t>
            </w:r>
            <w:proofErr w:type="spellEnd"/>
            <w:r w:rsidRPr="00E60E0B">
              <w:rPr>
                <w:kern w:val="0"/>
                <w:szCs w:val="22"/>
                <w:lang w:val="en-US" w:eastAsia="en-US"/>
              </w:rPr>
              <w:t xml:space="preserve"> (Section §690.400) or Shigellosis (Section §690.640) standard precautions shall be followed and contact precautions shall be followed for diapered or incontinent persons or during institutional outbreaks until absence of diarrhea for 24 hours).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Hepatitis A, §690.450 (F)</w:t>
            </w:r>
          </w:p>
        </w:tc>
        <w:tc>
          <w:tcPr>
            <w:tcW w:w="5400" w:type="dxa"/>
          </w:tcPr>
          <w:p w:rsidR="00B37DD3" w:rsidRPr="00E60E0B" w:rsidRDefault="00B37DD3" w:rsidP="000915F8">
            <w:pPr>
              <w:pStyle w:val="BodyText"/>
              <w:spacing w:before="0" w:after="0"/>
              <w:jc w:val="left"/>
              <w:rPr>
                <w:kern w:val="0"/>
                <w:szCs w:val="22"/>
                <w:lang w:val="en-US" w:eastAsia="en-US"/>
              </w:rPr>
            </w:pPr>
            <w:r w:rsidRPr="00E60E0B">
              <w:rPr>
                <w:kern w:val="0"/>
                <w:szCs w:val="22"/>
                <w:lang w:val="en-US" w:eastAsia="en-US"/>
              </w:rPr>
              <w:t>Standard precautions shall be followed. In diapered or incontinent persons, the following contact precautions shall be followed:</w:t>
            </w:r>
          </w:p>
          <w:p w:rsidR="00B37DD3" w:rsidRPr="00E60E0B" w:rsidRDefault="00B37DD3" w:rsidP="00B37DD3">
            <w:pPr>
              <w:pStyle w:val="BULLET"/>
              <w:numPr>
                <w:ilvl w:val="0"/>
                <w:numId w:val="1"/>
              </w:numPr>
              <w:ind w:left="360"/>
              <w:jc w:val="left"/>
              <w:rPr>
                <w:kern w:val="0"/>
                <w:szCs w:val="22"/>
                <w:lang w:val="en-US" w:eastAsia="en-US"/>
              </w:rPr>
            </w:pPr>
            <w:r w:rsidRPr="00E60E0B">
              <w:rPr>
                <w:kern w:val="0"/>
                <w:szCs w:val="22"/>
                <w:lang w:val="en-US" w:eastAsia="en-US"/>
              </w:rPr>
              <w:t>Infants and children less than three years of age for duration of hospitalization;</w:t>
            </w:r>
          </w:p>
          <w:p w:rsidR="00B37DD3" w:rsidRPr="00E60E0B" w:rsidRDefault="00B37DD3" w:rsidP="00B37DD3">
            <w:pPr>
              <w:pStyle w:val="BULLET"/>
              <w:numPr>
                <w:ilvl w:val="0"/>
                <w:numId w:val="1"/>
              </w:numPr>
              <w:ind w:left="360"/>
              <w:jc w:val="left"/>
              <w:rPr>
                <w:kern w:val="0"/>
                <w:szCs w:val="22"/>
                <w:lang w:val="en-US" w:eastAsia="en-US"/>
              </w:rPr>
            </w:pPr>
            <w:r w:rsidRPr="00E60E0B">
              <w:rPr>
                <w:kern w:val="0"/>
                <w:szCs w:val="22"/>
                <w:lang w:val="en-US" w:eastAsia="en-US"/>
              </w:rPr>
              <w:t>Children 3 to 14 years of age, until two weeks after onset of symptoms; and</w:t>
            </w:r>
          </w:p>
          <w:p w:rsidR="00B37DD3" w:rsidRPr="00E60E0B" w:rsidRDefault="00B37DD3" w:rsidP="00B37DD3">
            <w:pPr>
              <w:pStyle w:val="BULLET"/>
              <w:numPr>
                <w:ilvl w:val="0"/>
                <w:numId w:val="1"/>
              </w:numPr>
              <w:ind w:left="360"/>
              <w:jc w:val="left"/>
              <w:rPr>
                <w:kern w:val="0"/>
                <w:szCs w:val="22"/>
                <w:lang w:val="en-US" w:eastAsia="en-US"/>
              </w:rPr>
            </w:pPr>
            <w:r w:rsidRPr="00E60E0B">
              <w:rPr>
                <w:kern w:val="0"/>
                <w:szCs w:val="22"/>
                <w:lang w:val="en-US" w:eastAsia="en-US"/>
              </w:rPr>
              <w:t>Those greater than 14 years of age, for one week after onset of symptoms.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Influenza admissions into intensive care unit, §690.468 (F or E)</w:t>
            </w:r>
          </w:p>
        </w:tc>
        <w:tc>
          <w:tcPr>
            <w:tcW w:w="5400" w:type="dxa"/>
          </w:tcPr>
          <w:p w:rsidR="00B37DD3" w:rsidRPr="00E60E0B" w:rsidRDefault="00B37DD3" w:rsidP="000915F8">
            <w:pPr>
              <w:pStyle w:val="BodyText"/>
              <w:spacing w:before="0" w:after="0"/>
              <w:jc w:val="left"/>
              <w:rPr>
                <w:kern w:val="0"/>
                <w:szCs w:val="22"/>
                <w:lang w:val="en-US" w:eastAsia="en-US"/>
              </w:rPr>
            </w:pPr>
            <w:r w:rsidRPr="00E60E0B">
              <w:rPr>
                <w:color w:val="000000"/>
                <w:szCs w:val="22"/>
                <w:lang w:val="en-US" w:eastAsia="en-US"/>
              </w:rPr>
              <w:t>Standard and droplet precautions shall be followed. IDPH may distribute additional recommendations in conjunction with CDC guidance.</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Measles, §690.520</w:t>
            </w:r>
          </w:p>
        </w:tc>
        <w:tc>
          <w:tcPr>
            <w:tcW w:w="5400" w:type="dxa"/>
          </w:tcPr>
          <w:p w:rsidR="00B37DD3" w:rsidRPr="00E60E0B" w:rsidRDefault="00B37DD3" w:rsidP="000915F8">
            <w:pPr>
              <w:pStyle w:val="BodyText"/>
              <w:spacing w:beforeLines="20" w:afterLines="20"/>
              <w:jc w:val="left"/>
              <w:rPr>
                <w:color w:val="000000"/>
                <w:kern w:val="0"/>
                <w:szCs w:val="22"/>
                <w:lang w:val="en-US" w:eastAsia="en-US"/>
              </w:rPr>
            </w:pPr>
            <w:r w:rsidRPr="00E60E0B">
              <w:rPr>
                <w:color w:val="000000"/>
                <w:kern w:val="0"/>
                <w:szCs w:val="22"/>
                <w:lang w:val="en-US" w:eastAsia="en-US"/>
              </w:rPr>
              <w:t xml:space="preserve">Children with measles shall be kept out of school or child </w:t>
            </w:r>
            <w:r w:rsidRPr="00E60E0B">
              <w:rPr>
                <w:color w:val="000000"/>
                <w:kern w:val="0"/>
                <w:szCs w:val="22"/>
                <w:lang w:val="en-US" w:eastAsia="en-US"/>
              </w:rPr>
              <w:lastRenderedPageBreak/>
              <w:t>care facilities for at least four days after appearance of the rash.</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lastRenderedPageBreak/>
              <w:t>Mumps, §690.550 (F or E)</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Cases shall be excluded from school, child care facilities or workplace until five days after onset of symptoms (</w:t>
            </w:r>
            <w:proofErr w:type="spellStart"/>
            <w:r w:rsidRPr="00E60E0B">
              <w:rPr>
                <w:kern w:val="0"/>
                <w:szCs w:val="22"/>
                <w:lang w:val="en-US" w:eastAsia="en-US"/>
              </w:rPr>
              <w:t>parotitis</w:t>
            </w:r>
            <w:proofErr w:type="spellEnd"/>
            <w:r w:rsidRPr="00E60E0B">
              <w:rPr>
                <w:kern w:val="0"/>
                <w:szCs w:val="22"/>
                <w:lang w:val="en-US" w:eastAsia="en-US"/>
              </w:rPr>
              <w:t>).</w:t>
            </w:r>
          </w:p>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Susceptible contacts should be excluded from school or the workplace from days 12 through 25 after exposure.</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 xml:space="preserve">Neisseria </w:t>
            </w:r>
            <w:proofErr w:type="spellStart"/>
            <w:r w:rsidRPr="00E60E0B">
              <w:rPr>
                <w:kern w:val="0"/>
                <w:szCs w:val="22"/>
                <w:lang w:val="en-US" w:eastAsia="en-US"/>
              </w:rPr>
              <w:t>meningitidis</w:t>
            </w:r>
            <w:proofErr w:type="spellEnd"/>
            <w:r w:rsidRPr="00E60E0B">
              <w:rPr>
                <w:kern w:val="0"/>
                <w:szCs w:val="22"/>
                <w:lang w:val="en-US" w:eastAsia="en-US"/>
              </w:rPr>
              <w:t>, meningitis and invasive disease, §690.555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shall be followed. Droplet precautions shall be followed until 24 hours after initiation of effective antimicrobial therapy.</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Outbreaks for public health significance (including but not limited to, foodborne and waterborne outbreaks), §690.565 (E)</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Make a report to local health authority within 24 hours for investigation. If outbreak has occurred, the local health authority makes a final report to IDPH. Cases are evaluated to determine need for isolation.</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Pertussis (whooping cough), §690.750</w:t>
            </w:r>
          </w:p>
        </w:tc>
        <w:tc>
          <w:tcPr>
            <w:tcW w:w="5400" w:type="dxa"/>
          </w:tcPr>
          <w:p w:rsidR="00B37DD3" w:rsidRPr="00E60E0B" w:rsidRDefault="00B37DD3" w:rsidP="000915F8">
            <w:pPr>
              <w:pStyle w:val="BodyText"/>
              <w:spacing w:beforeLines="20" w:afterLines="20"/>
              <w:jc w:val="left"/>
              <w:rPr>
                <w:color w:val="000000"/>
                <w:kern w:val="0"/>
                <w:szCs w:val="22"/>
                <w:lang w:val="en-US" w:eastAsia="en-US"/>
              </w:rPr>
            </w:pPr>
            <w:r w:rsidRPr="00E60E0B">
              <w:rPr>
                <w:color w:val="000000"/>
                <w:kern w:val="0"/>
                <w:szCs w:val="22"/>
                <w:lang w:val="en-US" w:eastAsia="en-US"/>
              </w:rPr>
              <w:t>Standard precautions shall be followed. Droplet precautions shall be followed for known cases until the patient has received at least five days of a course of appropriate antibiotics.</w:t>
            </w:r>
          </w:p>
          <w:p w:rsidR="00B37DD3" w:rsidRPr="00E60E0B" w:rsidRDefault="00B37DD3" w:rsidP="000915F8">
            <w:pPr>
              <w:pStyle w:val="BodyText"/>
              <w:spacing w:beforeLines="20" w:afterLines="20"/>
              <w:jc w:val="left"/>
              <w:rPr>
                <w:kern w:val="0"/>
                <w:szCs w:val="22"/>
                <w:lang w:val="en-US" w:eastAsia="en-US"/>
              </w:rPr>
            </w:pPr>
            <w:r w:rsidRPr="00E60E0B">
              <w:rPr>
                <w:color w:val="000000"/>
                <w:kern w:val="0"/>
                <w:szCs w:val="22"/>
                <w:lang w:val="en-US" w:eastAsia="en-US"/>
              </w:rPr>
              <w:t>Case shall be excluded from school until five days of appropriate antibiotic therapy is complete. Suspected cases who do not receive antibiotics should be isolated for three weeks after onset of paroxysmal cough or until the end of the cough, whichever comes first.</w:t>
            </w:r>
          </w:p>
        </w:tc>
      </w:tr>
      <w:tr w:rsidR="00B37DD3" w:rsidRPr="0019749E" w:rsidTr="000915F8">
        <w:tc>
          <w:tcPr>
            <w:tcW w:w="3607" w:type="dxa"/>
          </w:tcPr>
          <w:p w:rsidR="00B37DD3" w:rsidRPr="00E60E0B" w:rsidDel="00897D84" w:rsidRDefault="00B37DD3" w:rsidP="000915F8">
            <w:pPr>
              <w:pStyle w:val="BodyText"/>
              <w:spacing w:beforeLines="20" w:afterLines="20"/>
              <w:jc w:val="left"/>
              <w:rPr>
                <w:kern w:val="0"/>
                <w:szCs w:val="22"/>
                <w:lang w:val="en-US" w:eastAsia="en-US"/>
              </w:rPr>
            </w:pPr>
            <w:r w:rsidRPr="00E60E0B">
              <w:rPr>
                <w:szCs w:val="22"/>
                <w:lang w:val="en-US" w:eastAsia="en-US"/>
              </w:rPr>
              <w:t>Q-fever (not suspected in bioterrorist attack or part of an outbreak)</w:t>
            </w:r>
            <w:r w:rsidRPr="00E60E0B">
              <w:rPr>
                <w:kern w:val="0"/>
                <w:szCs w:val="22"/>
                <w:lang w:val="en-US" w:eastAsia="en-US"/>
              </w:rPr>
              <w:t>, §</w:t>
            </w:r>
            <w:r w:rsidRPr="00E60E0B">
              <w:rPr>
                <w:szCs w:val="22"/>
                <w:lang w:val="en-US" w:eastAsia="en-US"/>
              </w:rPr>
              <w:t>690.595</w:t>
            </w:r>
          </w:p>
        </w:tc>
        <w:tc>
          <w:tcPr>
            <w:tcW w:w="5400" w:type="dxa"/>
          </w:tcPr>
          <w:p w:rsidR="00B37DD3" w:rsidRPr="00E60E0B" w:rsidDel="00897D84" w:rsidRDefault="00B37DD3" w:rsidP="000915F8">
            <w:pPr>
              <w:pStyle w:val="BodyText"/>
              <w:spacing w:beforeLines="20" w:afterLines="20"/>
              <w:jc w:val="left"/>
              <w:rPr>
                <w:kern w:val="0"/>
                <w:szCs w:val="22"/>
                <w:lang w:val="en-US" w:eastAsia="en-US"/>
              </w:rPr>
            </w:pPr>
            <w:r w:rsidRPr="00E60E0B">
              <w:rPr>
                <w:szCs w:val="22"/>
                <w:lang w:val="en-US" w:eastAsia="en-US"/>
              </w:rPr>
              <w:t>Standard precautions shall be followed. No restrictions for contacts.</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Rabies, human, §690.600 (F)</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Standard precautions shall be followed.</w:t>
            </w:r>
          </w:p>
        </w:tc>
      </w:tr>
      <w:tr w:rsidR="00B37DD3" w:rsidRPr="0019749E" w:rsidTr="000915F8">
        <w:tc>
          <w:tcPr>
            <w:tcW w:w="3607"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Rabies, potential human exposure, §690.601 (F)</w:t>
            </w:r>
          </w:p>
          <w:p w:rsidR="00B37DD3" w:rsidRPr="00E60E0B" w:rsidRDefault="00B37DD3" w:rsidP="000915F8">
            <w:pPr>
              <w:pStyle w:val="BodyText"/>
              <w:spacing w:beforeLines="20" w:afterLines="20"/>
              <w:jc w:val="left"/>
              <w:rPr>
                <w:kern w:val="0"/>
                <w:szCs w:val="22"/>
                <w:lang w:val="en-US" w:eastAsia="en-US"/>
              </w:rPr>
            </w:pPr>
            <w:r w:rsidRPr="00E60E0B">
              <w:rPr>
                <w:color w:val="000000"/>
                <w:kern w:val="0"/>
                <w:szCs w:val="22"/>
                <w:lang w:val="en-US" w:eastAsia="en-US"/>
              </w:rPr>
              <w:t xml:space="preserve">Definition of exposed person to be reported is lengthy and available in </w:t>
            </w:r>
            <w:r w:rsidRPr="00E60E0B">
              <w:rPr>
                <w:kern w:val="0"/>
                <w:szCs w:val="22"/>
                <w:lang w:val="en-US" w:eastAsia="en-US"/>
              </w:rPr>
              <w:t>§</w:t>
            </w:r>
            <w:r w:rsidRPr="00E60E0B">
              <w:rPr>
                <w:color w:val="000000"/>
                <w:kern w:val="0"/>
                <w:szCs w:val="22"/>
                <w:lang w:val="en-US" w:eastAsia="en-US"/>
              </w:rPr>
              <w:t>690.601.</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The local health authority determines whether rabies post-exposure prophylaxis for the exposed person is needed.</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Rubella</w:t>
            </w:r>
            <w:r w:rsidRPr="00E60E0B">
              <w:rPr>
                <w:kern w:val="0"/>
                <w:szCs w:val="22"/>
                <w:lang w:val="en-US" w:eastAsia="en-US"/>
              </w:rPr>
              <w:t>, §</w:t>
            </w:r>
            <w:r w:rsidRPr="00E60E0B">
              <w:rPr>
                <w:szCs w:val="22"/>
                <w:lang w:val="en-US" w:eastAsia="en-US"/>
              </w:rPr>
              <w:t>690.620 (F or E)</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Cases shall be excluded from school, child care facilities or the workplace for seven days after rash onset. Susceptible contacts should be excluded from school from days seven through 23 following rash onset after last exposure.</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Smallpox vaccination, complications of §690.655 (E)</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color w:val="000000"/>
                <w:kern w:val="0"/>
                <w:szCs w:val="22"/>
                <w:lang w:val="en-US" w:eastAsia="en-US"/>
              </w:rPr>
              <w:t>Precautions for individuals with vaccination complications vary depending upon the type of complication. See Smallpox, §690.650 above</w:t>
            </w:r>
            <w:r w:rsidRPr="00E60E0B">
              <w:rPr>
                <w:color w:val="FF0000"/>
                <w:kern w:val="0"/>
                <w:szCs w:val="22"/>
                <w:lang w:val="en-US" w:eastAsia="en-US"/>
              </w:rPr>
              <w:t>.</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Staphylococcus aureus infections with intermediate or high level resistance to Vancomycin</w:t>
            </w:r>
            <w:r w:rsidRPr="00E60E0B">
              <w:rPr>
                <w:kern w:val="0"/>
                <w:szCs w:val="22"/>
                <w:lang w:val="en-US" w:eastAsia="en-US"/>
              </w:rPr>
              <w:t>, §</w:t>
            </w:r>
            <w:r w:rsidRPr="00E60E0B">
              <w:rPr>
                <w:szCs w:val="22"/>
                <w:lang w:val="en-US" w:eastAsia="en-US"/>
              </w:rPr>
              <w:t>690.661 (F)</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The Department will issue specific recommendations on a case-by-case basis.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Streptococcal infections, Group A, </w:t>
            </w:r>
            <w:r w:rsidRPr="00E60E0B">
              <w:rPr>
                <w:szCs w:val="22"/>
                <w:lang w:val="en-US" w:eastAsia="en-US"/>
              </w:rPr>
              <w:lastRenderedPageBreak/>
              <w:t>invasive and sequelae to Group A streptococcal infections, §690.670 (F)</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lastRenderedPageBreak/>
              <w:t xml:space="preserve">Standard Precautions shall be followed. Droplet </w:t>
            </w:r>
            <w:r w:rsidRPr="00E60E0B">
              <w:rPr>
                <w:szCs w:val="22"/>
                <w:lang w:val="en-US" w:eastAsia="en-US"/>
              </w:rPr>
              <w:lastRenderedPageBreak/>
              <w:t>Precautions shall be followed for persons with necrotizing fasciitis or toxic shock syndrome until 24 hours after initiation of effective antimicrobial therapy. In cases of necrotizing fasciitis, when dressing does not adequately contain drainage, contact precautions shall be followed until 24 hours after initiation of effective antimicrobial therapy.</w:t>
            </w:r>
          </w:p>
        </w:tc>
      </w:tr>
      <w:tr w:rsidR="00B37DD3" w:rsidRPr="0019749E" w:rsidTr="000915F8">
        <w:tc>
          <w:tcPr>
            <w:tcW w:w="3607" w:type="dxa"/>
          </w:tcPr>
          <w:p w:rsidR="00B37DD3" w:rsidRPr="00E60E0B" w:rsidDel="007077B2" w:rsidRDefault="00B37DD3" w:rsidP="000915F8">
            <w:pPr>
              <w:pStyle w:val="BodyText"/>
              <w:spacing w:beforeLines="20" w:afterLines="20"/>
              <w:jc w:val="left"/>
              <w:rPr>
                <w:szCs w:val="22"/>
                <w:lang w:val="en-US" w:eastAsia="en-US"/>
              </w:rPr>
            </w:pPr>
            <w:r w:rsidRPr="00E60E0B">
              <w:rPr>
                <w:szCs w:val="22"/>
                <w:lang w:val="en-US" w:eastAsia="en-US"/>
              </w:rPr>
              <w:lastRenderedPageBreak/>
              <w:t>Tularemia (not suspected to be bioterrorist event or part of an outbreak)</w:t>
            </w:r>
            <w:r w:rsidRPr="00E60E0B">
              <w:rPr>
                <w:kern w:val="0"/>
                <w:szCs w:val="22"/>
                <w:lang w:val="en-US" w:eastAsia="en-US"/>
              </w:rPr>
              <w:t>, §</w:t>
            </w:r>
            <w:r w:rsidRPr="00E60E0B">
              <w:rPr>
                <w:szCs w:val="22"/>
                <w:lang w:val="en-US" w:eastAsia="en-US"/>
              </w:rPr>
              <w:t>690.725</w:t>
            </w:r>
          </w:p>
        </w:tc>
        <w:tc>
          <w:tcPr>
            <w:tcW w:w="5400" w:type="dxa"/>
          </w:tcPr>
          <w:p w:rsidR="00B37DD3" w:rsidRPr="00E60E0B" w:rsidDel="007077B2"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Typhoid fever</w:t>
            </w:r>
            <w:r w:rsidRPr="00E60E0B">
              <w:rPr>
                <w:kern w:val="0"/>
                <w:szCs w:val="22"/>
                <w:lang w:val="en-US" w:eastAsia="en-US"/>
              </w:rPr>
              <w:t>, §</w:t>
            </w:r>
            <w:r w:rsidRPr="00E60E0B">
              <w:rPr>
                <w:szCs w:val="22"/>
                <w:lang w:val="en-US" w:eastAsia="en-US"/>
              </w:rPr>
              <w:t>690.730 (F)</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All persons living in the household of a newly identified chronic carrier and other contacts living outside the home must submit two consecutive negative specimens of feces.</w:t>
            </w:r>
          </w:p>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If persons required to be tested refuse to comply within one week after notification, they shall be restricted from their occupations, school attendance or day care (adult or child) attendance until compliance is achieved.</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Typhus</w:t>
            </w:r>
            <w:r w:rsidRPr="00E60E0B">
              <w:rPr>
                <w:kern w:val="0"/>
                <w:szCs w:val="22"/>
                <w:lang w:val="en-US" w:eastAsia="en-US"/>
              </w:rPr>
              <w:t>, §</w:t>
            </w:r>
            <w:r w:rsidRPr="00E60E0B">
              <w:rPr>
                <w:szCs w:val="22"/>
                <w:lang w:val="en-US" w:eastAsia="en-US"/>
              </w:rPr>
              <w:t>690.740 (F)</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Proper delousing for louse-borne typhus is required. The local health authority shall monitor all immediate contacts for clinical signs for two weeks.</w:t>
            </w:r>
          </w:p>
        </w:tc>
      </w:tr>
    </w:tbl>
    <w:p w:rsidR="00B37DD3" w:rsidRPr="00BA4489" w:rsidRDefault="00B37DD3" w:rsidP="00B37DD3">
      <w:pPr>
        <w:pStyle w:val="SUBHEADING"/>
      </w:pPr>
      <w:r w:rsidRPr="00BA4489">
        <w:t>Class II Diseases</w:t>
      </w:r>
    </w:p>
    <w:p w:rsidR="00B37DD3" w:rsidRPr="00697AEC" w:rsidRDefault="00B37DD3" w:rsidP="00B37DD3">
      <w:pPr>
        <w:pStyle w:val="BodyText"/>
      </w:pPr>
      <w:r w:rsidRPr="00BA4489">
        <w:t>The following diseases shall be reported as soon as possible</w:t>
      </w:r>
      <w:r w:rsidRPr="00671931">
        <w:t xml:space="preserve"> by mail, telephone, facsimile or electronically during normal business hours, but within </w:t>
      </w:r>
      <w:r w:rsidRPr="00BA4489">
        <w:t>seven days, to the local health authority which shall then report to the IDPH within seven days.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7"/>
        <w:gridCol w:w="5400"/>
      </w:tblGrid>
      <w:tr w:rsidR="00B37DD3" w:rsidRPr="0019749E" w:rsidTr="000915F8">
        <w:trPr>
          <w:tblHeader/>
        </w:trPr>
        <w:tc>
          <w:tcPr>
            <w:tcW w:w="3607"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Disease</w:t>
            </w:r>
          </w:p>
        </w:tc>
        <w:tc>
          <w:tcPr>
            <w:tcW w:w="5400" w:type="dxa"/>
            <w:tcMar>
              <w:top w:w="43" w:type="dxa"/>
              <w:left w:w="115" w:type="dxa"/>
              <w:bottom w:w="43" w:type="dxa"/>
              <w:right w:w="115" w:type="dxa"/>
            </w:tcMar>
          </w:tcPr>
          <w:p w:rsidR="00B37DD3" w:rsidRPr="00E60E0B" w:rsidRDefault="00B37DD3" w:rsidP="000915F8">
            <w:pPr>
              <w:pStyle w:val="BodyText"/>
              <w:spacing w:before="0" w:after="0"/>
              <w:jc w:val="center"/>
              <w:rPr>
                <w:b/>
                <w:bCs/>
                <w:szCs w:val="22"/>
                <w:lang w:val="en-US" w:eastAsia="en-US"/>
              </w:rPr>
            </w:pPr>
            <w:r w:rsidRPr="00E60E0B">
              <w:rPr>
                <w:b/>
                <w:bCs/>
                <w:szCs w:val="22"/>
                <w:lang w:val="en-US" w:eastAsia="en-US"/>
              </w:rPr>
              <w:t>Precaution and Exclusion Rules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proofErr w:type="spellStart"/>
            <w:r w:rsidRPr="00E60E0B">
              <w:rPr>
                <w:color w:val="000000"/>
                <w:szCs w:val="22"/>
                <w:lang w:val="en-US" w:eastAsia="en-US"/>
              </w:rPr>
              <w:t>Arboviral</w:t>
            </w:r>
            <w:proofErr w:type="spellEnd"/>
            <w:r w:rsidRPr="00E60E0B">
              <w:rPr>
                <w:color w:val="000000"/>
                <w:szCs w:val="22"/>
                <w:lang w:val="en-US" w:eastAsia="en-US"/>
              </w:rPr>
              <w:t xml:space="preserve"> Infection (including, but not limited to, California encephalitis, St. Louis encephalitis and West Nile virus)</w:t>
            </w:r>
            <w:r w:rsidRPr="00E60E0B">
              <w:rPr>
                <w:kern w:val="0"/>
                <w:szCs w:val="22"/>
                <w:lang w:val="en-US" w:eastAsia="en-US"/>
              </w:rPr>
              <w:t>, §</w:t>
            </w:r>
            <w:r w:rsidRPr="00E60E0B">
              <w:rPr>
                <w:color w:val="000000"/>
                <w:szCs w:val="22"/>
                <w:lang w:val="en-US" w:eastAsia="en-US"/>
              </w:rPr>
              <w:t>690.322</w:t>
            </w:r>
          </w:p>
        </w:tc>
        <w:tc>
          <w:tcPr>
            <w:tcW w:w="5400" w:type="dxa"/>
          </w:tcPr>
          <w:p w:rsidR="00B37DD3" w:rsidRPr="00E60E0B" w:rsidRDefault="00B37DD3" w:rsidP="000915F8">
            <w:pPr>
              <w:pStyle w:val="BodyText"/>
              <w:spacing w:beforeLines="20" w:afterLines="20"/>
              <w:jc w:val="left"/>
              <w:rPr>
                <w:color w:val="000000"/>
                <w:kern w:val="0"/>
                <w:szCs w:val="22"/>
                <w:lang w:val="en-US" w:eastAsia="en-US"/>
              </w:rPr>
            </w:pPr>
            <w:r w:rsidRPr="00E60E0B">
              <w:rPr>
                <w:color w:val="000000"/>
                <w:kern w:val="0"/>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proofErr w:type="spellStart"/>
            <w:r w:rsidRPr="00E60E0B">
              <w:rPr>
                <w:color w:val="000000"/>
                <w:szCs w:val="22"/>
                <w:lang w:val="en-US" w:eastAsia="en-US"/>
              </w:rPr>
              <w:t>Campylobacteriosis</w:t>
            </w:r>
            <w:proofErr w:type="spellEnd"/>
            <w:r w:rsidRPr="00E60E0B">
              <w:rPr>
                <w:color w:val="000000"/>
                <w:szCs w:val="22"/>
                <w:lang w:val="en-US" w:eastAsia="en-US"/>
              </w:rPr>
              <w:t>, §690.335</w:t>
            </w:r>
          </w:p>
        </w:tc>
        <w:tc>
          <w:tcPr>
            <w:tcW w:w="5400" w:type="dxa"/>
          </w:tcPr>
          <w:p w:rsidR="00B37DD3" w:rsidRPr="00E60E0B" w:rsidRDefault="00B37DD3" w:rsidP="000915F8">
            <w:pPr>
              <w:pStyle w:val="BodyText"/>
              <w:spacing w:beforeLines="20" w:afterLines="20"/>
              <w:jc w:val="left"/>
              <w:rPr>
                <w:color w:val="000000"/>
                <w:kern w:val="0"/>
                <w:szCs w:val="22"/>
                <w:lang w:val="en-US" w:eastAsia="en-US"/>
              </w:rPr>
            </w:pPr>
            <w:r w:rsidRPr="00E60E0B">
              <w:rPr>
                <w:color w:val="000000"/>
                <w:szCs w:val="22"/>
                <w:lang w:val="en-US" w:eastAsia="en-US"/>
              </w:rPr>
              <w:t>Standard precautions shall be followed.  Contact precautions shall be followed for diapered or incontinent persons or during institutional outbreaks until diarrhea is absent for 24 hours.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Cryptosporidiosis</w:t>
            </w:r>
            <w:r w:rsidRPr="00E60E0B">
              <w:rPr>
                <w:kern w:val="0"/>
                <w:szCs w:val="22"/>
                <w:lang w:val="en-US" w:eastAsia="en-US"/>
              </w:rPr>
              <w:t>, §</w:t>
            </w:r>
            <w:r w:rsidRPr="00E60E0B">
              <w:rPr>
                <w:color w:val="000000"/>
                <w:szCs w:val="22"/>
                <w:lang w:val="en-US" w:eastAsia="en-US"/>
              </w:rPr>
              <w:t>690.365</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Standard precautions shall be followed. Cases shall avoid swimming in public recreational water venues (e.g., swimming pools, whirlpool spas, wading pools, water parks, interactive fountains, lakes) while symptomatic and for 2 weeks after cessation of diarrhea.</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proofErr w:type="spellStart"/>
            <w:r w:rsidRPr="00E60E0B">
              <w:rPr>
                <w:color w:val="000000"/>
                <w:szCs w:val="22"/>
                <w:lang w:val="en-US" w:eastAsia="en-US"/>
              </w:rPr>
              <w:t>Cyclosporiasis</w:t>
            </w:r>
            <w:proofErr w:type="spellEnd"/>
            <w:r w:rsidRPr="00E60E0B">
              <w:rPr>
                <w:kern w:val="0"/>
                <w:szCs w:val="22"/>
                <w:lang w:val="en-US" w:eastAsia="en-US"/>
              </w:rPr>
              <w:t>, §</w:t>
            </w:r>
            <w:r w:rsidRPr="00E60E0B">
              <w:rPr>
                <w:color w:val="000000"/>
                <w:szCs w:val="22"/>
                <w:lang w:val="en-US" w:eastAsia="en-US"/>
              </w:rPr>
              <w:t>690.368</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 xml:space="preserve">Standard precautions shall be followed. </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Hepatitis B and Hepatitis D</w:t>
            </w:r>
            <w:r w:rsidRPr="00E60E0B">
              <w:rPr>
                <w:kern w:val="0"/>
                <w:szCs w:val="22"/>
                <w:lang w:val="en-US" w:eastAsia="en-US"/>
              </w:rPr>
              <w:t>, §</w:t>
            </w:r>
            <w:r w:rsidRPr="00E60E0B">
              <w:rPr>
                <w:color w:val="000000"/>
                <w:szCs w:val="22"/>
                <w:lang w:val="en-US" w:eastAsia="en-US"/>
              </w:rPr>
              <w:t>690.451</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Hepatitis C</w:t>
            </w:r>
            <w:r w:rsidRPr="00E60E0B">
              <w:rPr>
                <w:kern w:val="0"/>
                <w:szCs w:val="22"/>
                <w:lang w:val="en-US" w:eastAsia="en-US"/>
              </w:rPr>
              <w:t>, §</w:t>
            </w:r>
            <w:r w:rsidRPr="00E60E0B">
              <w:rPr>
                <w:color w:val="000000"/>
                <w:szCs w:val="22"/>
                <w:lang w:val="en-US" w:eastAsia="en-US"/>
              </w:rPr>
              <w:t>690.452</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 xml:space="preserve">Standard precautions shall be followed. No restrictions on </w:t>
            </w:r>
            <w:r w:rsidRPr="00E60E0B">
              <w:rPr>
                <w:color w:val="000000"/>
                <w:szCs w:val="22"/>
                <w:lang w:val="en-US" w:eastAsia="en-US"/>
              </w:rPr>
              <w:lastRenderedPageBreak/>
              <w:t>contacts.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lastRenderedPageBreak/>
              <w:t>Histoplasmosis</w:t>
            </w:r>
            <w:r w:rsidRPr="00E60E0B">
              <w:rPr>
                <w:kern w:val="0"/>
                <w:szCs w:val="22"/>
                <w:lang w:val="en-US" w:eastAsia="en-US"/>
              </w:rPr>
              <w:t>, §</w:t>
            </w:r>
            <w:r w:rsidRPr="00E60E0B">
              <w:rPr>
                <w:color w:val="000000"/>
                <w:szCs w:val="22"/>
                <w:lang w:val="en-US" w:eastAsia="en-US"/>
              </w:rPr>
              <w:t>690.460</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Influenza, Deaths in persons less than 18 years of age (lab confirmed and no recovery between illness and death)</w:t>
            </w:r>
            <w:r w:rsidRPr="00E60E0B">
              <w:rPr>
                <w:kern w:val="0"/>
                <w:szCs w:val="22"/>
                <w:lang w:val="en-US" w:eastAsia="en-US"/>
              </w:rPr>
              <w:t>, §</w:t>
            </w:r>
            <w:r w:rsidRPr="00E60E0B">
              <w:rPr>
                <w:color w:val="000000"/>
                <w:szCs w:val="22"/>
                <w:lang w:val="en-US" w:eastAsia="en-US"/>
              </w:rPr>
              <w:t>690.465</w:t>
            </w:r>
          </w:p>
        </w:tc>
        <w:tc>
          <w:tcPr>
            <w:tcW w:w="5400" w:type="dxa"/>
          </w:tcPr>
          <w:p w:rsidR="00B37DD3" w:rsidRPr="00E60E0B" w:rsidRDefault="00B37DD3" w:rsidP="000915F8">
            <w:pPr>
              <w:pStyle w:val="BodyText"/>
              <w:spacing w:beforeLines="20" w:afterLines="20"/>
              <w:jc w:val="left"/>
              <w:rPr>
                <w:color w:val="000000"/>
                <w:szCs w:val="22"/>
                <w:lang w:val="en-US" w:eastAsia="en-US"/>
              </w:rPr>
            </w:pPr>
            <w:r w:rsidRPr="00E60E0B">
              <w:rPr>
                <w:color w:val="000000"/>
                <w:szCs w:val="22"/>
                <w:lang w:val="en-US" w:eastAsia="en-US"/>
              </w:rPr>
              <w:t>N/A</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proofErr w:type="spellStart"/>
            <w:r w:rsidRPr="00E60E0B">
              <w:rPr>
                <w:szCs w:val="22"/>
                <w:lang w:val="en-US" w:eastAsia="en-US"/>
              </w:rPr>
              <w:t>Legionellosis</w:t>
            </w:r>
            <w:proofErr w:type="spellEnd"/>
            <w:r w:rsidRPr="00E60E0B">
              <w:rPr>
                <w:kern w:val="0"/>
                <w:szCs w:val="22"/>
                <w:lang w:val="en-US" w:eastAsia="en-US"/>
              </w:rPr>
              <w:t>, §</w:t>
            </w:r>
            <w:r w:rsidRPr="00E60E0B">
              <w:rPr>
                <w:szCs w:val="22"/>
                <w:lang w:val="en-US" w:eastAsia="en-US"/>
              </w:rPr>
              <w:t>690.475</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Standard precautions shall be followed. No restrictions on contacts. </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Leptospirosis</w:t>
            </w:r>
            <w:r w:rsidRPr="00E60E0B">
              <w:rPr>
                <w:kern w:val="0"/>
                <w:szCs w:val="22"/>
                <w:lang w:val="en-US" w:eastAsia="en-US"/>
              </w:rPr>
              <w:t>, §</w:t>
            </w:r>
            <w:r w:rsidRPr="00E60E0B">
              <w:rPr>
                <w:szCs w:val="22"/>
                <w:lang w:val="en-US" w:eastAsia="en-US"/>
              </w:rPr>
              <w:t>690.490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proofErr w:type="spellStart"/>
            <w:r w:rsidRPr="00E60E0B">
              <w:rPr>
                <w:szCs w:val="22"/>
                <w:lang w:val="en-US" w:eastAsia="en-US"/>
              </w:rPr>
              <w:t>Listeriosis</w:t>
            </w:r>
            <w:proofErr w:type="spellEnd"/>
            <w:r w:rsidRPr="00E60E0B">
              <w:rPr>
                <w:szCs w:val="22"/>
                <w:lang w:val="en-US" w:eastAsia="en-US"/>
              </w:rPr>
              <w:t xml:space="preserve"> (when both mother and newborn are positive, report mother only)</w:t>
            </w:r>
            <w:r w:rsidRPr="00E60E0B">
              <w:rPr>
                <w:kern w:val="0"/>
                <w:szCs w:val="22"/>
                <w:lang w:val="en-US" w:eastAsia="en-US"/>
              </w:rPr>
              <w:t>, §</w:t>
            </w:r>
            <w:r w:rsidRPr="00E60E0B">
              <w:rPr>
                <w:szCs w:val="22"/>
                <w:lang w:val="en-US" w:eastAsia="en-US"/>
              </w:rPr>
              <w:t>690.495</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Malaria</w:t>
            </w:r>
            <w:r w:rsidRPr="00E60E0B">
              <w:rPr>
                <w:kern w:val="0"/>
                <w:szCs w:val="22"/>
                <w:lang w:val="en-US" w:eastAsia="en-US"/>
              </w:rPr>
              <w:t>, §</w:t>
            </w:r>
            <w:r w:rsidRPr="00E60E0B">
              <w:rPr>
                <w:szCs w:val="22"/>
                <w:lang w:val="en-US" w:eastAsia="en-US"/>
              </w:rPr>
              <w:t>690.510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Psittacosis due to chlamydia </w:t>
            </w:r>
            <w:proofErr w:type="spellStart"/>
            <w:r w:rsidRPr="00E60E0B">
              <w:rPr>
                <w:szCs w:val="22"/>
                <w:lang w:val="en-US" w:eastAsia="en-US"/>
              </w:rPr>
              <w:t>psittaci</w:t>
            </w:r>
            <w:proofErr w:type="spellEnd"/>
            <w:r w:rsidRPr="00E60E0B">
              <w:rPr>
                <w:kern w:val="0"/>
                <w:szCs w:val="22"/>
                <w:lang w:val="en-US" w:eastAsia="en-US"/>
              </w:rPr>
              <w:t>, §</w:t>
            </w:r>
            <w:r w:rsidRPr="00E60E0B">
              <w:rPr>
                <w:szCs w:val="22"/>
                <w:lang w:val="en-US" w:eastAsia="en-US"/>
              </w:rPr>
              <w:t>690.590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Salmonellosis (other than typhoid fever)</w:t>
            </w:r>
            <w:r w:rsidRPr="00E60E0B">
              <w:rPr>
                <w:kern w:val="0"/>
                <w:szCs w:val="22"/>
                <w:lang w:val="en-US" w:eastAsia="en-US"/>
              </w:rPr>
              <w:t>, §</w:t>
            </w:r>
            <w:r w:rsidRPr="00E60E0B">
              <w:rPr>
                <w:szCs w:val="22"/>
                <w:lang w:val="en-US" w:eastAsia="en-US"/>
              </w:rPr>
              <w:t>690.630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Standard precautions shall be followed. </w:t>
            </w:r>
            <w:r w:rsidRPr="00E60E0B">
              <w:rPr>
                <w:color w:val="000000"/>
                <w:szCs w:val="22"/>
                <w:lang w:val="en-US" w:eastAsia="en-US"/>
              </w:rPr>
              <w:t>Contact precautions shall be followed for diapered or incontinent persons or during institutional outbreaks until absence of diarrhea for 24 hours.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Shigellosis</w:t>
            </w:r>
            <w:r w:rsidRPr="00E60E0B">
              <w:rPr>
                <w:kern w:val="0"/>
                <w:szCs w:val="22"/>
                <w:lang w:val="en-US" w:eastAsia="en-US"/>
              </w:rPr>
              <w:t>, §</w:t>
            </w:r>
            <w:r w:rsidRPr="00E60E0B">
              <w:rPr>
                <w:szCs w:val="22"/>
                <w:lang w:val="en-US" w:eastAsia="en-US"/>
              </w:rPr>
              <w:t>690.640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Standard precautions shall be followed. </w:t>
            </w:r>
            <w:r w:rsidRPr="00E60E0B">
              <w:rPr>
                <w:color w:val="000000"/>
                <w:szCs w:val="22"/>
                <w:lang w:val="en-US" w:eastAsia="en-US"/>
              </w:rPr>
              <w:t>Contact precautions shall be followed for diapered or incontinent persons or during institutional outbreaks until diarrhea is absent for 24 hours.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Toxic shock syndrome due to Staphylococcus aureus infection</w:t>
            </w:r>
            <w:r w:rsidRPr="00E60E0B">
              <w:rPr>
                <w:kern w:val="0"/>
                <w:szCs w:val="22"/>
                <w:lang w:val="en-US" w:eastAsia="en-US"/>
              </w:rPr>
              <w:t>, §</w:t>
            </w:r>
            <w:r w:rsidRPr="00E60E0B">
              <w:rPr>
                <w:szCs w:val="22"/>
                <w:lang w:val="en-US" w:eastAsia="en-US"/>
              </w:rPr>
              <w:t>690.695</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Streptococcus pneumoniae, invasive disease in children less than five years</w:t>
            </w:r>
            <w:r w:rsidRPr="00E60E0B">
              <w:rPr>
                <w:kern w:val="0"/>
                <w:szCs w:val="22"/>
                <w:lang w:val="en-US" w:eastAsia="en-US"/>
              </w:rPr>
              <w:t>, §</w:t>
            </w:r>
            <w:r w:rsidRPr="00E60E0B">
              <w:rPr>
                <w:szCs w:val="22"/>
                <w:lang w:val="en-US" w:eastAsia="en-US"/>
              </w:rPr>
              <w:t>690.678</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Tetanus</w:t>
            </w:r>
            <w:r w:rsidRPr="00E60E0B">
              <w:rPr>
                <w:kern w:val="0"/>
                <w:szCs w:val="22"/>
                <w:lang w:val="en-US" w:eastAsia="en-US"/>
              </w:rPr>
              <w:t>, §</w:t>
            </w:r>
            <w:r w:rsidRPr="00E60E0B">
              <w:rPr>
                <w:szCs w:val="22"/>
                <w:lang w:val="en-US" w:eastAsia="en-US"/>
              </w:rPr>
              <w:t>690.690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and post-injury patients at risk should receive human tetanus immune globulin and/or toxoid.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proofErr w:type="spellStart"/>
            <w:r w:rsidRPr="00E60E0B">
              <w:rPr>
                <w:szCs w:val="22"/>
                <w:lang w:val="en-US" w:eastAsia="en-US"/>
              </w:rPr>
              <w:t>Tickborne</w:t>
            </w:r>
            <w:proofErr w:type="spellEnd"/>
            <w:r w:rsidRPr="00E60E0B">
              <w:rPr>
                <w:szCs w:val="22"/>
                <w:lang w:val="en-US" w:eastAsia="en-US"/>
              </w:rPr>
              <w:t xml:space="preserve"> Disease, including </w:t>
            </w:r>
            <w:proofErr w:type="spellStart"/>
            <w:r w:rsidRPr="00E60E0B">
              <w:rPr>
                <w:szCs w:val="22"/>
                <w:lang w:val="en-US" w:eastAsia="en-US"/>
              </w:rPr>
              <w:t>ehrlichiosis</w:t>
            </w:r>
            <w:proofErr w:type="spellEnd"/>
            <w:r w:rsidRPr="00E60E0B">
              <w:rPr>
                <w:szCs w:val="22"/>
                <w:lang w:val="en-US" w:eastAsia="en-US"/>
              </w:rPr>
              <w:t xml:space="preserve">, </w:t>
            </w:r>
            <w:proofErr w:type="spellStart"/>
            <w:r w:rsidRPr="00E60E0B">
              <w:rPr>
                <w:szCs w:val="22"/>
                <w:lang w:val="en-US" w:eastAsia="en-US"/>
              </w:rPr>
              <w:t>anaplasmosis</w:t>
            </w:r>
            <w:proofErr w:type="spellEnd"/>
            <w:r w:rsidRPr="00E60E0B">
              <w:rPr>
                <w:szCs w:val="22"/>
                <w:lang w:val="en-US" w:eastAsia="en-US"/>
              </w:rPr>
              <w:t>, Lyme disease, and Rocky Mountain spotted fever</w:t>
            </w:r>
            <w:r w:rsidRPr="00E60E0B">
              <w:rPr>
                <w:kern w:val="0"/>
                <w:szCs w:val="22"/>
                <w:lang w:val="en-US" w:eastAsia="en-US"/>
              </w:rPr>
              <w:t>, §</w:t>
            </w:r>
            <w:r w:rsidRPr="00E60E0B">
              <w:rPr>
                <w:szCs w:val="22"/>
                <w:lang w:val="en-US" w:eastAsia="en-US"/>
              </w:rPr>
              <w:t>690.698</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Trichinosis</w:t>
            </w:r>
            <w:r w:rsidRPr="00E60E0B">
              <w:rPr>
                <w:kern w:val="0"/>
                <w:szCs w:val="22"/>
                <w:lang w:val="en-US" w:eastAsia="en-US"/>
              </w:rPr>
              <w:t>, §</w:t>
            </w:r>
            <w:r w:rsidRPr="00E60E0B">
              <w:rPr>
                <w:szCs w:val="22"/>
                <w:lang w:val="en-US" w:eastAsia="en-US"/>
              </w:rPr>
              <w:t>690.710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Standard precautions shall be followed. No restrictions on contacts.</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r w:rsidRPr="00E60E0B">
              <w:rPr>
                <w:kern w:val="0"/>
                <w:szCs w:val="22"/>
                <w:lang w:val="en-US" w:eastAsia="en-US"/>
              </w:rPr>
              <w:t>Tuberculosis, §696.170</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Reporting requirement is limited to health care professionals (includes nurses and health coordinators or </w:t>
            </w:r>
            <w:r w:rsidRPr="00E60E0B">
              <w:rPr>
                <w:szCs w:val="22"/>
                <w:lang w:val="en-US" w:eastAsia="en-US"/>
              </w:rPr>
              <w:lastRenderedPageBreak/>
              <w:t xml:space="preserve">health care settings).  Report electronically or by facsimile, followed up with a phone call to local TB authority, or if none, to IDPH. </w:t>
            </w:r>
          </w:p>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Exclude case if considered to be infectious according to IDPH’s rules and regulations for the control of TB or as recommended by the local health authority.</w:t>
            </w:r>
          </w:p>
        </w:tc>
      </w:tr>
      <w:tr w:rsidR="00B37DD3" w:rsidRPr="0019749E" w:rsidTr="000915F8">
        <w:tc>
          <w:tcPr>
            <w:tcW w:w="3607" w:type="dxa"/>
          </w:tcPr>
          <w:p w:rsidR="00B37DD3" w:rsidRPr="00E60E0B" w:rsidRDefault="00B37DD3" w:rsidP="000915F8">
            <w:pPr>
              <w:pStyle w:val="BodyText"/>
              <w:spacing w:beforeLines="20" w:afterLines="20"/>
              <w:jc w:val="left"/>
              <w:rPr>
                <w:szCs w:val="22"/>
                <w:lang w:val="en-US" w:eastAsia="en-US"/>
              </w:rPr>
            </w:pPr>
            <w:proofErr w:type="spellStart"/>
            <w:r w:rsidRPr="00E60E0B">
              <w:rPr>
                <w:szCs w:val="22"/>
                <w:lang w:val="en-US" w:eastAsia="en-US"/>
              </w:rPr>
              <w:lastRenderedPageBreak/>
              <w:t>Vibriosis</w:t>
            </w:r>
            <w:proofErr w:type="spellEnd"/>
            <w:r w:rsidRPr="00E60E0B">
              <w:rPr>
                <w:szCs w:val="22"/>
                <w:lang w:val="en-US" w:eastAsia="en-US"/>
              </w:rPr>
              <w:t xml:space="preserve"> (Non-cholera Vibrio infections)</w:t>
            </w:r>
            <w:r w:rsidRPr="00E60E0B">
              <w:rPr>
                <w:kern w:val="0"/>
                <w:szCs w:val="22"/>
                <w:lang w:val="en-US" w:eastAsia="en-US"/>
              </w:rPr>
              <w:t>, §</w:t>
            </w:r>
            <w:r w:rsidRPr="00E60E0B">
              <w:rPr>
                <w:szCs w:val="22"/>
                <w:lang w:val="en-US" w:eastAsia="en-US"/>
              </w:rPr>
              <w:t>690.745</w:t>
            </w:r>
          </w:p>
        </w:tc>
        <w:tc>
          <w:tcPr>
            <w:tcW w:w="54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 xml:space="preserve">Standard precautions shall be followed. </w:t>
            </w:r>
            <w:r w:rsidRPr="00E60E0B">
              <w:rPr>
                <w:color w:val="000000"/>
                <w:szCs w:val="22"/>
                <w:lang w:val="en-US" w:eastAsia="en-US"/>
              </w:rPr>
              <w:t>Contact precautions shall be followed for diapered or incontinent persons or during institutional outbreaks until diarrhea ceases.</w:t>
            </w:r>
          </w:p>
        </w:tc>
      </w:tr>
    </w:tbl>
    <w:p w:rsidR="00B37DD3" w:rsidRPr="00BA4489" w:rsidRDefault="00B37DD3" w:rsidP="00B37DD3">
      <w:pPr>
        <w:pStyle w:val="SUBHEADING"/>
      </w:pPr>
      <w:r w:rsidRPr="00BA4489">
        <w:t xml:space="preserve">Reporting of Sexually Transmissible Infections, 77 </w:t>
      </w:r>
      <w:proofErr w:type="spellStart"/>
      <w:r w:rsidRPr="00BA4489">
        <w:t>Ill.Admin.Code</w:t>
      </w:r>
      <w:proofErr w:type="spellEnd"/>
      <w:r w:rsidRPr="00BA4489">
        <w:t xml:space="preserve"> 693.30</w:t>
      </w:r>
    </w:p>
    <w:p w:rsidR="00B37DD3" w:rsidRPr="00BA4489" w:rsidRDefault="00B37DD3" w:rsidP="00B37DD3">
      <w:pPr>
        <w:pStyle w:val="BodyText"/>
        <w:spacing w:after="120"/>
      </w:pPr>
      <w:r w:rsidRPr="00BA4489">
        <w:t xml:space="preserve">The following sexually transmitted infections are reportable by </w:t>
      </w:r>
      <w:r w:rsidRPr="00D03BFA">
        <w:t>health care professionals</w:t>
      </w:r>
      <w:r w:rsidRPr="00BA4489">
        <w:t xml:space="preserve"> only (which includes advanced practice nurses, licensed nurses (including school nurses),</w:t>
      </w:r>
      <w:r w:rsidRPr="00671931">
        <w:t xml:space="preserve"> or other persons licensed</w:t>
      </w:r>
      <w:r w:rsidRPr="00E33291">
        <w:t xml:space="preserve"> or certified to provide health care services of any kind to the local health department, or if none exists, to IDP</w:t>
      </w:r>
      <w:r w:rsidRPr="00BA4489">
        <w:t xml:space="preserve">H. Reports are strictly confidential and must be made within seven days after the diagnosis or treatment.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5400"/>
      </w:tblGrid>
      <w:tr w:rsidR="00B37DD3" w:rsidRPr="0019749E" w:rsidTr="000915F8">
        <w:trPr>
          <w:tblHeader/>
        </w:trPr>
        <w:tc>
          <w:tcPr>
            <w:tcW w:w="3600" w:type="dxa"/>
            <w:tcBorders>
              <w:top w:val="single" w:sz="4" w:space="0" w:color="auto"/>
            </w:tcBorders>
          </w:tcPr>
          <w:p w:rsidR="00B37DD3" w:rsidRPr="00E60E0B" w:rsidRDefault="00B37DD3" w:rsidP="000915F8">
            <w:pPr>
              <w:pStyle w:val="BodyText"/>
              <w:jc w:val="center"/>
              <w:rPr>
                <w:b/>
                <w:color w:val="000000"/>
                <w:kern w:val="0"/>
                <w:szCs w:val="22"/>
                <w:lang w:val="en-US" w:eastAsia="en-US"/>
              </w:rPr>
            </w:pPr>
            <w:r w:rsidRPr="00E60E0B">
              <w:rPr>
                <w:b/>
                <w:szCs w:val="22"/>
                <w:lang w:val="en-US" w:eastAsia="en-US"/>
              </w:rPr>
              <w:t>Infection</w:t>
            </w:r>
          </w:p>
        </w:tc>
        <w:tc>
          <w:tcPr>
            <w:tcW w:w="5400" w:type="dxa"/>
            <w:tcBorders>
              <w:top w:val="single" w:sz="4" w:space="0" w:color="auto"/>
            </w:tcBorders>
          </w:tcPr>
          <w:p w:rsidR="00B37DD3" w:rsidRPr="00E60E0B" w:rsidRDefault="00B37DD3" w:rsidP="000915F8">
            <w:pPr>
              <w:pStyle w:val="BodyText"/>
              <w:jc w:val="center"/>
              <w:rPr>
                <w:b/>
                <w:color w:val="000000"/>
                <w:kern w:val="0"/>
                <w:szCs w:val="22"/>
                <w:lang w:val="en-US" w:eastAsia="en-US"/>
              </w:rPr>
            </w:pPr>
            <w:r w:rsidRPr="00E60E0B">
              <w:rPr>
                <w:b/>
                <w:szCs w:val="22"/>
                <w:lang w:val="en-US" w:eastAsia="en-US"/>
              </w:rPr>
              <w:t>Exclusion Rules</w:t>
            </w:r>
          </w:p>
        </w:tc>
      </w:tr>
      <w:tr w:rsidR="00B37DD3" w:rsidRPr="0019749E" w:rsidTr="000915F8">
        <w:tc>
          <w:tcPr>
            <w:tcW w:w="36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Acquired Immunodeficiency Syndrome (AIDS)</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 xml:space="preserve">A person may only be isolated with that person’s consent or upon order of a court in those cases there the public’s health and welfare are significantly endangered and where all other reasonable means have been exhausted and no less restrictive alternative exists. 77 </w:t>
            </w:r>
            <w:proofErr w:type="spellStart"/>
            <w:r w:rsidRPr="00E60E0B">
              <w:rPr>
                <w:kern w:val="0"/>
                <w:szCs w:val="22"/>
                <w:lang w:val="en-US" w:eastAsia="en-US"/>
              </w:rPr>
              <w:t>Ill.Admin.Code</w:t>
            </w:r>
            <w:proofErr w:type="spellEnd"/>
            <w:r w:rsidRPr="00E60E0B">
              <w:rPr>
                <w:kern w:val="0"/>
                <w:szCs w:val="22"/>
                <w:lang w:val="en-US" w:eastAsia="en-US"/>
              </w:rPr>
              <w:t xml:space="preserve"> §693.60(b).</w:t>
            </w:r>
          </w:p>
        </w:tc>
      </w:tr>
      <w:tr w:rsidR="00B37DD3" w:rsidRPr="0019749E" w:rsidTr="000915F8">
        <w:tc>
          <w:tcPr>
            <w:tcW w:w="36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HIV Infection</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See above.</w:t>
            </w:r>
          </w:p>
        </w:tc>
      </w:tr>
      <w:tr w:rsidR="00B37DD3" w:rsidRPr="0019749E" w:rsidTr="000915F8">
        <w:tc>
          <w:tcPr>
            <w:tcW w:w="36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Syphilis</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See above.</w:t>
            </w:r>
          </w:p>
        </w:tc>
      </w:tr>
      <w:tr w:rsidR="00B37DD3" w:rsidRPr="0019749E" w:rsidTr="000915F8">
        <w:tc>
          <w:tcPr>
            <w:tcW w:w="3600" w:type="dxa"/>
          </w:tcPr>
          <w:p w:rsidR="00B37DD3" w:rsidRPr="00E60E0B" w:rsidRDefault="00B37DD3" w:rsidP="000915F8">
            <w:pPr>
              <w:pStyle w:val="BodyText"/>
              <w:spacing w:beforeLines="20" w:afterLines="20"/>
              <w:jc w:val="left"/>
              <w:rPr>
                <w:szCs w:val="22"/>
                <w:lang w:val="en-US" w:eastAsia="en-US"/>
              </w:rPr>
            </w:pPr>
            <w:r w:rsidRPr="00E60E0B">
              <w:rPr>
                <w:szCs w:val="22"/>
                <w:lang w:val="en-US" w:eastAsia="en-US"/>
              </w:rPr>
              <w:t>Gonorrhea</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See above.</w:t>
            </w:r>
          </w:p>
        </w:tc>
      </w:tr>
      <w:tr w:rsidR="00B37DD3" w:rsidRPr="0019749E" w:rsidTr="000915F8">
        <w:tc>
          <w:tcPr>
            <w:tcW w:w="3600" w:type="dxa"/>
          </w:tcPr>
          <w:p w:rsidR="00B37DD3" w:rsidRPr="00E60E0B" w:rsidRDefault="00B37DD3" w:rsidP="000915F8">
            <w:pPr>
              <w:pStyle w:val="BodyText"/>
              <w:spacing w:beforeLines="20" w:afterLines="20"/>
              <w:jc w:val="left"/>
              <w:rPr>
                <w:kern w:val="0"/>
                <w:szCs w:val="22"/>
                <w:lang w:val="en-US" w:eastAsia="en-US"/>
              </w:rPr>
            </w:pPr>
            <w:r w:rsidRPr="00E60E0B">
              <w:rPr>
                <w:color w:val="000000"/>
                <w:kern w:val="0"/>
                <w:szCs w:val="22"/>
                <w:lang w:val="en-US" w:eastAsia="en-US"/>
              </w:rPr>
              <w:t>Chlamydia</w:t>
            </w:r>
          </w:p>
        </w:tc>
        <w:tc>
          <w:tcPr>
            <w:tcW w:w="5400" w:type="dxa"/>
          </w:tcPr>
          <w:p w:rsidR="00B37DD3" w:rsidRPr="00E60E0B" w:rsidRDefault="00B37DD3" w:rsidP="000915F8">
            <w:pPr>
              <w:pStyle w:val="BodyText"/>
              <w:spacing w:beforeLines="20" w:afterLines="20"/>
              <w:jc w:val="left"/>
              <w:rPr>
                <w:kern w:val="0"/>
                <w:szCs w:val="22"/>
                <w:lang w:val="en-US" w:eastAsia="en-US"/>
              </w:rPr>
            </w:pPr>
            <w:r w:rsidRPr="00E60E0B">
              <w:rPr>
                <w:kern w:val="0"/>
                <w:szCs w:val="22"/>
                <w:lang w:val="en-US" w:eastAsia="en-US"/>
              </w:rPr>
              <w:t>See above.</w:t>
            </w:r>
          </w:p>
        </w:tc>
      </w:tr>
      <w:tr w:rsidR="00B37DD3" w:rsidRPr="0019749E" w:rsidTr="000915F8">
        <w:tc>
          <w:tcPr>
            <w:tcW w:w="3600" w:type="dxa"/>
          </w:tcPr>
          <w:p w:rsidR="00B37DD3" w:rsidRPr="00E60E0B" w:rsidRDefault="00B37DD3" w:rsidP="000915F8">
            <w:pPr>
              <w:pStyle w:val="BodyText"/>
              <w:spacing w:beforeLines="20" w:afterLines="20"/>
              <w:jc w:val="left"/>
              <w:rPr>
                <w:color w:val="000000"/>
                <w:kern w:val="0"/>
                <w:szCs w:val="22"/>
                <w:lang w:val="en-US" w:eastAsia="en-US"/>
              </w:rPr>
            </w:pPr>
            <w:proofErr w:type="spellStart"/>
            <w:r w:rsidRPr="00E60E0B">
              <w:rPr>
                <w:color w:val="000000"/>
                <w:kern w:val="0"/>
                <w:szCs w:val="22"/>
                <w:lang w:val="en-US" w:eastAsia="en-US"/>
              </w:rPr>
              <w:t>Chancroid</w:t>
            </w:r>
            <w:proofErr w:type="spellEnd"/>
          </w:p>
        </w:tc>
        <w:tc>
          <w:tcPr>
            <w:tcW w:w="5400" w:type="dxa"/>
          </w:tcPr>
          <w:p w:rsidR="00B37DD3" w:rsidRPr="00E60E0B" w:rsidRDefault="00B37DD3" w:rsidP="000915F8">
            <w:pPr>
              <w:pStyle w:val="BodyText"/>
              <w:spacing w:beforeLines="20" w:afterLines="20"/>
              <w:jc w:val="left"/>
              <w:rPr>
                <w:szCs w:val="22"/>
                <w:lang w:val="en-US" w:eastAsia="en-US"/>
              </w:rPr>
            </w:pPr>
            <w:r w:rsidRPr="00E60E0B">
              <w:rPr>
                <w:kern w:val="0"/>
                <w:szCs w:val="22"/>
                <w:lang w:val="en-US" w:eastAsia="en-US"/>
              </w:rPr>
              <w:t>See above.</w:t>
            </w:r>
          </w:p>
        </w:tc>
      </w:tr>
    </w:tbl>
    <w:p w:rsidR="00B37DD3" w:rsidRPr="00BA4489" w:rsidRDefault="00B37DD3" w:rsidP="00B37DD3">
      <w:pPr>
        <w:pStyle w:val="SUBHEADING"/>
      </w:pPr>
      <w:r w:rsidRPr="00BA4489">
        <w:t>Exclusion Criteria for Non-Reportable Diseases and Illnesses</w:t>
      </w:r>
    </w:p>
    <w:p w:rsidR="00B37DD3" w:rsidRPr="00BA4489" w:rsidRDefault="00B37DD3" w:rsidP="00B37DD3">
      <w:pPr>
        <w:pStyle w:val="BodyText"/>
      </w:pPr>
      <w:r w:rsidRPr="00BA4489">
        <w:t xml:space="preserve">There are a number of diseases and illnesses that have either never been reportable or no longer need to be reported under </w:t>
      </w:r>
      <w:r w:rsidRPr="00E33291">
        <w:t xml:space="preserve">IDPH rules. However, some of </w:t>
      </w:r>
      <w:r w:rsidRPr="00BA4489">
        <w:t xml:space="preserve">these conditions may still pose a health risk and require exclusion from school. IDPH has published a chart which includes diseases and illnesses that do not require reporting of individual cases (as well as more common diseases those that do need to be reported), but may still require exclusion from school. Please refer to the following link for further guidance at: </w:t>
      </w:r>
    </w:p>
    <w:p w:rsidR="00B37DD3" w:rsidRDefault="00B37DD3" w:rsidP="00B37DD3">
      <w:pPr>
        <w:pStyle w:val="BodyText"/>
        <w:spacing w:before="0" w:after="0"/>
        <w:ind w:firstLine="720"/>
      </w:pPr>
      <w:hyperlink r:id="rId10" w:history="1">
        <w:r w:rsidRPr="00245BB2">
          <w:rPr>
            <w:rStyle w:val="Hyperlink"/>
          </w:rPr>
          <w:t>http://dph.illinois.gov/sites/default/files/publications/commchartschool-032817.pdf</w:t>
        </w:r>
      </w:hyperlink>
      <w:r>
        <w:t>.</w:t>
      </w:r>
      <w:bookmarkStart w:id="0" w:name="dated"/>
      <w:bookmarkEnd w:id="0"/>
    </w:p>
    <w:p w:rsidR="008E0904" w:rsidRDefault="008E0904"/>
    <w:sectPr w:rsidR="008E0904" w:rsidSect="008E090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686" w:rsidRDefault="00FE2686" w:rsidP="00557546">
      <w:r>
        <w:separator/>
      </w:r>
    </w:p>
  </w:endnote>
  <w:endnote w:type="continuationSeparator" w:id="0">
    <w:p w:rsidR="00FE2686" w:rsidRDefault="00FE2686" w:rsidP="005575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D3" w:rsidRDefault="00B37DD3" w:rsidP="00B37DD3">
    <w:pPr>
      <w:pStyle w:val="Footer"/>
      <w:tabs>
        <w:tab w:val="right" w:pos="9000"/>
      </w:tabs>
    </w:pPr>
    <w:r>
      <w:t>7:280-E2</w:t>
    </w:r>
    <w:r>
      <w:tab/>
    </w:r>
    <w:r>
      <w:tab/>
      <w:t xml:space="preserve">Page </w:t>
    </w:r>
    <w:fldSimple w:instr=" PAGE   \* MERGEFORMAT ">
      <w:r>
        <w:rPr>
          <w:noProof/>
        </w:rPr>
        <w:t>1</w:t>
      </w:r>
    </w:fldSimple>
    <w:r>
      <w:t xml:space="preserve"> of </w:t>
    </w:r>
    <w:fldSimple w:instr=" SECTIONPAGES   \* MERGEFORMAT ">
      <w:r>
        <w:rPr>
          <w:noProof/>
        </w:rPr>
        <w:t>8</w:t>
      </w:r>
    </w:fldSimple>
  </w:p>
  <w:p w:rsidR="00557546" w:rsidRDefault="0055754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686" w:rsidRDefault="00FE2686" w:rsidP="00557546">
      <w:r>
        <w:separator/>
      </w:r>
    </w:p>
  </w:footnote>
  <w:footnote w:type="continuationSeparator" w:id="0">
    <w:p w:rsidR="00FE2686" w:rsidRDefault="00FE2686" w:rsidP="00557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57546"/>
    <w:rsid w:val="002503F8"/>
    <w:rsid w:val="00557546"/>
    <w:rsid w:val="00833563"/>
    <w:rsid w:val="008E0904"/>
    <w:rsid w:val="00952CB0"/>
    <w:rsid w:val="00B03752"/>
    <w:rsid w:val="00B37DD3"/>
    <w:rsid w:val="00CE31D6"/>
    <w:rsid w:val="00FE2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D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37DD3"/>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B37DD3"/>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DD3"/>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B37DD3"/>
    <w:rPr>
      <w:rFonts w:ascii="Arial" w:eastAsia="Times New Roman" w:hAnsi="Arial" w:cs="Times New Roman"/>
      <w:b/>
      <w:kern w:val="28"/>
      <w:szCs w:val="20"/>
      <w:u w:val="single"/>
      <w:lang/>
    </w:rPr>
  </w:style>
  <w:style w:type="paragraph" w:styleId="BodyText">
    <w:name w:val="Body Text"/>
    <w:basedOn w:val="Normal"/>
    <w:link w:val="BodyTextChar"/>
    <w:rsid w:val="00B37DD3"/>
    <w:pPr>
      <w:spacing w:before="60" w:after="60"/>
      <w:jc w:val="both"/>
    </w:pPr>
    <w:rPr>
      <w:lang/>
    </w:rPr>
  </w:style>
  <w:style w:type="character" w:customStyle="1" w:styleId="BodyTextChar">
    <w:name w:val="Body Text Char"/>
    <w:basedOn w:val="DefaultParagraphFont"/>
    <w:link w:val="BodyText"/>
    <w:rsid w:val="00B37DD3"/>
    <w:rPr>
      <w:rFonts w:ascii="Times New Roman" w:eastAsia="Times New Roman" w:hAnsi="Times New Roman" w:cs="Times New Roman"/>
      <w:kern w:val="28"/>
      <w:szCs w:val="20"/>
      <w:lang/>
    </w:rPr>
  </w:style>
  <w:style w:type="paragraph" w:customStyle="1" w:styleId="BULLET">
    <w:name w:val="BULLET"/>
    <w:basedOn w:val="Normal"/>
    <w:link w:val="BULLETChar"/>
    <w:rsid w:val="00B37DD3"/>
    <w:pPr>
      <w:ind w:left="1080" w:hanging="360"/>
      <w:jc w:val="both"/>
    </w:pPr>
    <w:rPr>
      <w:lang/>
    </w:rPr>
  </w:style>
  <w:style w:type="character" w:styleId="FootnoteReference">
    <w:name w:val="footnote reference"/>
    <w:rsid w:val="00B37DD3"/>
    <w:rPr>
      <w:rFonts w:ascii="Times New Roman" w:hAnsi="Times New Roman"/>
      <w:b/>
      <w:position w:val="6"/>
      <w:sz w:val="18"/>
    </w:rPr>
  </w:style>
  <w:style w:type="paragraph" w:customStyle="1" w:styleId="SUBHEADING">
    <w:name w:val="SUBHEADING"/>
    <w:basedOn w:val="Normal"/>
    <w:next w:val="BodyText"/>
    <w:link w:val="SUBHEADINGChar"/>
    <w:rsid w:val="00B37DD3"/>
    <w:pPr>
      <w:keepNext/>
      <w:spacing w:before="120" w:after="60"/>
    </w:pPr>
    <w:rPr>
      <w:u w:val="single"/>
      <w:lang/>
    </w:rPr>
  </w:style>
  <w:style w:type="paragraph" w:styleId="Header">
    <w:name w:val="header"/>
    <w:basedOn w:val="Normal"/>
    <w:link w:val="HeaderChar"/>
    <w:rsid w:val="00B37DD3"/>
    <w:pPr>
      <w:tabs>
        <w:tab w:val="center" w:pos="4320"/>
        <w:tab w:val="right" w:pos="8640"/>
      </w:tabs>
    </w:pPr>
    <w:rPr>
      <w:lang/>
    </w:rPr>
  </w:style>
  <w:style w:type="character" w:customStyle="1" w:styleId="HeaderChar">
    <w:name w:val="Header Char"/>
    <w:basedOn w:val="DefaultParagraphFont"/>
    <w:link w:val="Header"/>
    <w:rsid w:val="00B37DD3"/>
    <w:rPr>
      <w:rFonts w:ascii="Times New Roman" w:eastAsia="Times New Roman" w:hAnsi="Times New Roman" w:cs="Times New Roman"/>
      <w:kern w:val="28"/>
      <w:szCs w:val="20"/>
      <w:lang/>
    </w:rPr>
  </w:style>
  <w:style w:type="character" w:styleId="Hyperlink">
    <w:name w:val="Hyperlink"/>
    <w:rsid w:val="00B37DD3"/>
    <w:rPr>
      <w:color w:val="0000FF"/>
      <w:u w:val="single"/>
    </w:rPr>
  </w:style>
  <w:style w:type="character" w:customStyle="1" w:styleId="SUBHEADINGChar">
    <w:name w:val="SUBHEADING Char"/>
    <w:link w:val="SUBHEADING"/>
    <w:rsid w:val="00B37DD3"/>
    <w:rPr>
      <w:rFonts w:ascii="Times New Roman" w:eastAsia="Times New Roman" w:hAnsi="Times New Roman" w:cs="Times New Roman"/>
      <w:kern w:val="28"/>
      <w:szCs w:val="20"/>
      <w:u w:val="single"/>
      <w:lang/>
    </w:rPr>
  </w:style>
  <w:style w:type="character" w:customStyle="1" w:styleId="BULLETChar">
    <w:name w:val="BULLET Char"/>
    <w:link w:val="BULLET"/>
    <w:rsid w:val="00B37DD3"/>
    <w:rPr>
      <w:rFonts w:ascii="Times New Roman" w:eastAsia="Times New Roman" w:hAnsi="Times New Roman" w:cs="Times New Roman"/>
      <w:kern w:val="28"/>
      <w:szCs w:val="20"/>
      <w:lang/>
    </w:rPr>
  </w:style>
  <w:style w:type="paragraph" w:styleId="Footer">
    <w:name w:val="footer"/>
    <w:basedOn w:val="Normal"/>
    <w:link w:val="FooterChar"/>
    <w:unhideWhenUsed/>
    <w:rsid w:val="00B37DD3"/>
    <w:pPr>
      <w:tabs>
        <w:tab w:val="center" w:pos="4680"/>
        <w:tab w:val="right" w:pos="9360"/>
      </w:tabs>
    </w:pPr>
  </w:style>
  <w:style w:type="character" w:customStyle="1" w:styleId="FooterChar">
    <w:name w:val="Footer Char"/>
    <w:basedOn w:val="DefaultParagraphFont"/>
    <w:link w:val="Footer"/>
    <w:rsid w:val="00B37DD3"/>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h.illinois.gov/covid19/community-guidance/school-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ph.illinois.gov/sites/default/files/publications/commchartschool-032817.pdf" TargetMode="External"/><Relationship Id="rId4" Type="http://schemas.openxmlformats.org/officeDocument/2006/relationships/settings" Target="settings.xml"/><Relationship Id="rId9" Type="http://schemas.openxmlformats.org/officeDocument/2006/relationships/hyperlink" Target="http://www.dph.illinois.gov/covid19/governor-pritzkers-executive-orders-and-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29A59-E4AD-46A6-B8D7-97850CE0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3032</Words>
  <Characters>17287</Characters>
  <Application>Microsoft Office Word</Application>
  <DocSecurity>0</DocSecurity>
  <Lines>144</Lines>
  <Paragraphs>40</Paragraphs>
  <ScaleCrop>false</ScaleCrop>
  <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2022-05-24T16:40:00Z</dcterms:created>
  <dcterms:modified xsi:type="dcterms:W3CDTF">2022-05-24T16:40:00Z</dcterms:modified>
</cp:coreProperties>
</file>