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EC27" w14:textId="17AC6C0A" w:rsidR="009F436A" w:rsidRDefault="009F436A" w:rsidP="009F436A">
      <w:pPr>
        <w:pStyle w:val="Header"/>
        <w:pBdr>
          <w:bottom w:val="single" w:sz="4" w:space="1" w:color="auto"/>
        </w:pBdr>
        <w:tabs>
          <w:tab w:val="right" w:pos="9000"/>
        </w:tabs>
      </w:pPr>
      <w:r>
        <w:t>Sparta CUSD 140-March 2020</w:t>
      </w:r>
      <w:r>
        <w:tab/>
      </w:r>
      <w:r>
        <w:tab/>
        <w:t>8:80</w:t>
      </w:r>
    </w:p>
    <w:p w14:paraId="04396120" w14:textId="77777777" w:rsidR="009F436A" w:rsidRDefault="009F436A" w:rsidP="009F436A">
      <w:pPr>
        <w:tabs>
          <w:tab w:val="right" w:pos="9000"/>
        </w:tabs>
      </w:pPr>
    </w:p>
    <w:p w14:paraId="284FAAA5" w14:textId="77777777" w:rsidR="009F436A" w:rsidRDefault="009F436A" w:rsidP="009F436A">
      <w:pPr>
        <w:pStyle w:val="Heading1"/>
      </w:pPr>
      <w:r>
        <w:t>Community Relations</w:t>
      </w:r>
    </w:p>
    <w:p w14:paraId="13524141" w14:textId="77777777" w:rsidR="009F436A" w:rsidRDefault="009F436A" w:rsidP="009F436A">
      <w:pPr>
        <w:pStyle w:val="Heading2"/>
        <w:rPr>
          <w:spacing w:val="-2"/>
        </w:rPr>
      </w:pPr>
      <w:r>
        <w:t>Gifts to the District</w:t>
      </w:r>
      <w:r>
        <w:rPr>
          <w:b w:val="0"/>
          <w:bCs/>
          <w:u w:val="none"/>
        </w:rPr>
        <w:t xml:space="preserve"> </w:t>
      </w:r>
    </w:p>
    <w:p w14:paraId="559E0EC3" w14:textId="77777777" w:rsidR="009F436A" w:rsidRDefault="009F436A" w:rsidP="009F436A">
      <w:pPr>
        <w:pStyle w:val="BodyText"/>
      </w:pPr>
      <w:r>
        <w:t>The School Board appreciates gifts from any education foundation, other entities, or individuals. All gifts must adhere to each of the following:</w:t>
      </w:r>
    </w:p>
    <w:p w14:paraId="2BA938DD" w14:textId="77777777" w:rsidR="009F436A" w:rsidRDefault="009F436A" w:rsidP="009F436A">
      <w:pPr>
        <w:pStyle w:val="LISTNUMBERDOUBLE"/>
        <w:numPr>
          <w:ilvl w:val="0"/>
          <w:numId w:val="1"/>
        </w:numPr>
      </w:pPr>
      <w:r>
        <w:t xml:space="preserve">Be accepted by the Board or, if less than $500.00 in value, the Superintendent or designee. Individuals should obtain a pre-acceptance commitment before identifying the District, any school, or school program or activity as a beneficiary in any fundraising attempt, including without limitation, any Internet fundraising attempt. </w:t>
      </w:r>
    </w:p>
    <w:p w14:paraId="15F750F4" w14:textId="77777777" w:rsidR="009F436A" w:rsidRDefault="009F436A" w:rsidP="009F436A">
      <w:pPr>
        <w:pStyle w:val="LISTNUMBERDOUBLE"/>
        <w:numPr>
          <w:ilvl w:val="0"/>
          <w:numId w:val="1"/>
        </w:numPr>
      </w:pPr>
      <w:r>
        <w:t>Be given without a stated purpose or with a purpose deemed by the party with authority to accept the gift to be compatible with the Board’s educational objectives and policies.</w:t>
      </w:r>
    </w:p>
    <w:p w14:paraId="4BE94BE0" w14:textId="77777777" w:rsidR="009F436A" w:rsidRDefault="009F436A" w:rsidP="009F436A">
      <w:pPr>
        <w:pStyle w:val="LISTNUMBERDOUBLE"/>
        <w:numPr>
          <w:ilvl w:val="0"/>
          <w:numId w:val="1"/>
        </w:numPr>
      </w:pPr>
      <w:r>
        <w:t xml:space="preserve">Be consistent with the District’s mandate to provide equal educational and extracurricular opportunities to all students in the District as provided in Board policy 7:10, </w:t>
      </w:r>
      <w:r w:rsidRPr="00991AA3">
        <w:rPr>
          <w:i/>
        </w:rPr>
        <w:t>Equal Educational Opportunities</w:t>
      </w:r>
      <w:r>
        <w:t>. State and federal laws require the District to provide</w:t>
      </w:r>
      <w:r>
        <w:rPr>
          <w:sz w:val="23"/>
          <w:szCs w:val="23"/>
        </w:rPr>
        <w:t xml:space="preserve"> equal treatment for members of both sexes</w:t>
      </w:r>
      <w:r>
        <w:t xml:space="preserve"> to educational programing, extracurricular activities, and </w:t>
      </w:r>
      <w:r>
        <w:rPr>
          <w:sz w:val="23"/>
          <w:szCs w:val="23"/>
        </w:rPr>
        <w:t xml:space="preserve">athletics. This includes the distribution of athletic benefits and opportunities. </w:t>
      </w:r>
    </w:p>
    <w:p w14:paraId="5010A2CC" w14:textId="77777777" w:rsidR="009F436A" w:rsidRDefault="009F436A" w:rsidP="009F436A">
      <w:pPr>
        <w:pStyle w:val="LISTNUMBERDOUBLE"/>
        <w:numPr>
          <w:ilvl w:val="0"/>
          <w:numId w:val="1"/>
        </w:numPr>
      </w:pPr>
      <w:r>
        <w:t xml:space="preserve">Permit the District to maintain resource equity among its learning centers. </w:t>
      </w:r>
    </w:p>
    <w:p w14:paraId="29423E75" w14:textId="77777777" w:rsidR="009F436A" w:rsidRDefault="009F436A" w:rsidP="009F436A">
      <w:pPr>
        <w:pStyle w:val="LISTNUMBERDOUBLE"/>
        <w:numPr>
          <w:ilvl w:val="0"/>
          <w:numId w:val="1"/>
        </w:numPr>
      </w:pPr>
      <w:r>
        <w:t>Be viewpoint neutral. The Superintendent or designee shall manage a process for the review and approval</w:t>
      </w:r>
      <w:r w:rsidRPr="00C771A9">
        <w:t xml:space="preserve"> </w:t>
      </w:r>
      <w:r>
        <w:t xml:space="preserve">of donations involving the incorporation of messages into or placing messages upon school property. </w:t>
      </w:r>
    </w:p>
    <w:p w14:paraId="6D62D9E1" w14:textId="77777777" w:rsidR="009F436A" w:rsidRDefault="009F436A" w:rsidP="009F436A">
      <w:pPr>
        <w:pStyle w:val="LISTNUMBERDOUBLE"/>
        <w:numPr>
          <w:ilvl w:val="0"/>
          <w:numId w:val="1"/>
        </w:numPr>
      </w:pPr>
      <w:r>
        <w:t>Comply with all laws applicable to the District including, without limitation, the Americans with Disabilities Act, the Prevailing Wage Act, the Health/Life Safety Code for Public Schools, and all applicable procurement and bidding requirements.</w:t>
      </w:r>
    </w:p>
    <w:p w14:paraId="044D829B" w14:textId="77777777" w:rsidR="009F436A" w:rsidRDefault="009F436A" w:rsidP="009F436A">
      <w:pPr>
        <w:pStyle w:val="BodyText"/>
      </w:pPr>
      <w:r>
        <w:t xml:space="preserve">The District will provide equal treatment to all individuals and entities seeking to donate money or a gift. Upon acceptance, all gifts become the District’s property. The </w:t>
      </w:r>
      <w:r>
        <w:rPr>
          <w:sz w:val="23"/>
          <w:szCs w:val="23"/>
        </w:rPr>
        <w:t xml:space="preserve">acceptance of a gift is not an endorsement by the Board, District, or school of any product, service, activity, or program. </w:t>
      </w:r>
      <w:r>
        <w:t>The method of r</w:t>
      </w:r>
      <w:r>
        <w:rPr>
          <w:sz w:val="23"/>
          <w:szCs w:val="23"/>
        </w:rPr>
        <w:t xml:space="preserve">ecognition is determined by </w:t>
      </w:r>
      <w:r>
        <w:t xml:space="preserve">the party accepting the gift. </w:t>
      </w:r>
    </w:p>
    <w:p w14:paraId="2C981D25" w14:textId="77777777" w:rsidR="009F436A" w:rsidRDefault="009F436A" w:rsidP="009F436A">
      <w:pPr>
        <w:pStyle w:val="LEGALREF"/>
      </w:pPr>
      <w:r>
        <w:t>LEGAL REF.:</w:t>
      </w:r>
      <w:r>
        <w:tab/>
        <w:t xml:space="preserve">20 U.S.C. §1681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>., Title IX of the Education Amendments implemented by 34 C.F.R. Part 106.</w:t>
      </w:r>
    </w:p>
    <w:p w14:paraId="62A2EE0E" w14:textId="77777777" w:rsidR="009F436A" w:rsidRDefault="009F436A" w:rsidP="009F436A">
      <w:pPr>
        <w:pStyle w:val="LEGALREFINDENT"/>
      </w:pPr>
      <w:r>
        <w:t>105 ILCS 5/16-1.</w:t>
      </w:r>
    </w:p>
    <w:p w14:paraId="1F937238" w14:textId="77777777" w:rsidR="009F436A" w:rsidRDefault="009F436A" w:rsidP="009F436A">
      <w:pPr>
        <w:pStyle w:val="LEGALREFINDENT"/>
      </w:pPr>
      <w:r>
        <w:t xml:space="preserve">23 </w:t>
      </w:r>
      <w:proofErr w:type="spellStart"/>
      <w:proofErr w:type="gramStart"/>
      <w:r>
        <w:t>Ill.Admin.Code</w:t>
      </w:r>
      <w:proofErr w:type="spellEnd"/>
      <w:proofErr w:type="gramEnd"/>
      <w:r>
        <w:t xml:space="preserve"> §200.40.</w:t>
      </w:r>
    </w:p>
    <w:p w14:paraId="76918DBB" w14:textId="77777777" w:rsidR="009F436A" w:rsidRDefault="009F436A" w:rsidP="009F436A">
      <w:pPr>
        <w:pStyle w:val="CROSSREF"/>
      </w:pPr>
      <w:r>
        <w:t xml:space="preserve">CROSS REF.: </w:t>
      </w:r>
      <w:r>
        <w:tab/>
        <w:t>4:60 (Purchases and Contracts), 4:150 (Facility Management and Building Programs), 6:10 (Educational Philosophy and Objectives), 6:210 (Instructional Materials), 7:10 (Equal Educational Opportunities)</w:t>
      </w:r>
    </w:p>
    <w:p w14:paraId="48F73266" w14:textId="77777777" w:rsidR="009F436A" w:rsidRDefault="009F436A" w:rsidP="009F436A">
      <w:pPr>
        <w:pStyle w:val="Header"/>
        <w:pBdr>
          <w:bottom w:val="single" w:sz="4" w:space="1" w:color="auto"/>
        </w:pBdr>
        <w:tabs>
          <w:tab w:val="right" w:pos="9000"/>
        </w:tabs>
      </w:pPr>
    </w:p>
    <w:p w14:paraId="2DF324DA" w14:textId="07D2C880" w:rsidR="00905E23" w:rsidRDefault="009F436A" w:rsidP="009F436A">
      <w:pPr>
        <w:pStyle w:val="Header"/>
        <w:pBdr>
          <w:bottom w:val="single" w:sz="4" w:space="1" w:color="auto"/>
        </w:pBdr>
        <w:tabs>
          <w:tab w:val="right" w:pos="9000"/>
        </w:tabs>
      </w:pPr>
      <w:r>
        <w:t>ADOPTED.:            MAY 14, 2020</w:t>
      </w:r>
    </w:p>
    <w:sectPr w:rsidR="00905E23" w:rsidSect="00435B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7D13" w14:textId="77777777" w:rsidR="00585F8F" w:rsidRDefault="00585F8F" w:rsidP="003A1A39">
      <w:r>
        <w:separator/>
      </w:r>
    </w:p>
  </w:endnote>
  <w:endnote w:type="continuationSeparator" w:id="0">
    <w:p w14:paraId="445253B1" w14:textId="77777777" w:rsidR="00585F8F" w:rsidRDefault="00585F8F" w:rsidP="003A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84D0" w14:textId="77777777" w:rsidR="009F436A" w:rsidRDefault="009F436A">
    <w:pPr>
      <w:pStyle w:val="Footer"/>
      <w:tabs>
        <w:tab w:val="clear" w:pos="4320"/>
        <w:tab w:val="clear" w:pos="8640"/>
        <w:tab w:val="right" w:pos="9000"/>
      </w:tabs>
    </w:pPr>
  </w:p>
  <w:p w14:paraId="57C6F6B4" w14:textId="720874A2" w:rsidR="009F436A" w:rsidRDefault="009F436A">
    <w:pPr>
      <w:pStyle w:val="Footer"/>
      <w:tabs>
        <w:tab w:val="clear" w:pos="4320"/>
        <w:tab w:val="clear" w:pos="8640"/>
        <w:tab w:val="right" w:pos="9000"/>
      </w:tabs>
    </w:pPr>
    <w:r>
      <w:t>8:80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04F4" w14:textId="77777777" w:rsidR="00585F8F" w:rsidRDefault="00585F8F" w:rsidP="003A1A39">
      <w:r>
        <w:separator/>
      </w:r>
    </w:p>
  </w:footnote>
  <w:footnote w:type="continuationSeparator" w:id="0">
    <w:p w14:paraId="75F42FEC" w14:textId="77777777" w:rsidR="00585F8F" w:rsidRDefault="00585F8F" w:rsidP="003A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071B0"/>
    <w:multiLevelType w:val="singleLevel"/>
    <w:tmpl w:val="783AC55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3"/>
    <w:rsid w:val="000B5382"/>
    <w:rsid w:val="000F5EF6"/>
    <w:rsid w:val="00245EE6"/>
    <w:rsid w:val="002515FE"/>
    <w:rsid w:val="0028375A"/>
    <w:rsid w:val="003A1A39"/>
    <w:rsid w:val="003F2304"/>
    <w:rsid w:val="00435B6C"/>
    <w:rsid w:val="00585F8F"/>
    <w:rsid w:val="007846B1"/>
    <w:rsid w:val="00905E23"/>
    <w:rsid w:val="009F436A"/>
    <w:rsid w:val="00A71D03"/>
    <w:rsid w:val="00CC68BA"/>
    <w:rsid w:val="00D1598A"/>
    <w:rsid w:val="00DD610F"/>
    <w:rsid w:val="00E62311"/>
    <w:rsid w:val="00EC0BB4"/>
    <w:rsid w:val="00EF4C0D"/>
    <w:rsid w:val="00F47C2B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9672"/>
  <w15:chartTrackingRefBased/>
  <w15:docId w15:val="{CE34D58A-C4CE-884A-8A6C-D218A2C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436A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9F436A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6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10F"/>
  </w:style>
  <w:style w:type="character" w:customStyle="1" w:styleId="Heading1Char">
    <w:name w:val="Heading 1 Char"/>
    <w:basedOn w:val="DefaultParagraphFont"/>
    <w:link w:val="Heading1"/>
    <w:rsid w:val="009F436A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F436A"/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9F436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436A"/>
    <w:rPr>
      <w:rFonts w:ascii="Times New Roman" w:eastAsia="Times New Roman" w:hAnsi="Times New Roman" w:cs="Times New Roman"/>
      <w:kern w:val="28"/>
      <w:sz w:val="22"/>
      <w:szCs w:val="20"/>
    </w:rPr>
  </w:style>
  <w:style w:type="paragraph" w:customStyle="1" w:styleId="LEGALREF">
    <w:name w:val="LEGAL REF"/>
    <w:basedOn w:val="Normal"/>
    <w:link w:val="LEGALREFChar"/>
    <w:rsid w:val="009F436A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paragraph" w:customStyle="1" w:styleId="LEGALREFINDENT">
    <w:name w:val="LEGAL REF INDENT"/>
    <w:basedOn w:val="LEGALREF"/>
    <w:link w:val="LEGALREFINDENTChar"/>
    <w:rsid w:val="009F436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9F436A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/>
      <w:ind w:left="1800" w:hanging="1800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paragraph" w:customStyle="1" w:styleId="LISTNUMBERDOUBLE">
    <w:name w:val="LIST NUMBER DOUBLE"/>
    <w:basedOn w:val="ListNumber2"/>
    <w:rsid w:val="009F436A"/>
    <w:pPr>
      <w:tabs>
        <w:tab w:val="clear" w:pos="360"/>
      </w:tabs>
      <w:overflowPunct w:val="0"/>
      <w:autoSpaceDE w:val="0"/>
      <w:autoSpaceDN w:val="0"/>
      <w:adjustRightInd w:val="0"/>
      <w:spacing w:before="60" w:after="60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Footer">
    <w:name w:val="footer"/>
    <w:basedOn w:val="Normal"/>
    <w:link w:val="FooterChar"/>
    <w:rsid w:val="009F436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9F436A"/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LEGALREFChar">
    <w:name w:val="LEGAL REF Char"/>
    <w:link w:val="LEGALREF"/>
    <w:rsid w:val="009F436A"/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character" w:customStyle="1" w:styleId="CROSSREFChar">
    <w:name w:val="CROSS REF Char"/>
    <w:link w:val="CROSSREF"/>
    <w:rsid w:val="009F436A"/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LEGALREFINDENTChar">
    <w:name w:val="LEGAL REF INDENT Char"/>
    <w:link w:val="LEGALREFINDENT"/>
    <w:rsid w:val="009F436A"/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paragraph" w:styleId="ListNumber2">
    <w:name w:val="List Number 2"/>
    <w:basedOn w:val="Normal"/>
    <w:uiPriority w:val="99"/>
    <w:semiHidden/>
    <w:unhideWhenUsed/>
    <w:rsid w:val="009F436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2020-04-13T18:46:00Z</dcterms:created>
  <dcterms:modified xsi:type="dcterms:W3CDTF">2020-04-13T18:46:00Z</dcterms:modified>
</cp:coreProperties>
</file>