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92" w:rsidRPr="007C4F4C" w:rsidRDefault="002E3B92" w:rsidP="002E3B92">
      <w:pPr>
        <w:pBdr>
          <w:bottom w:val="single" w:sz="4" w:space="1" w:color="auto"/>
        </w:pBdr>
        <w:tabs>
          <w:tab w:val="right" w:pos="9000"/>
        </w:tabs>
        <w:jc w:val="both"/>
        <w:rPr>
          <w:rFonts w:eastAsiaTheme="minorHAnsi"/>
          <w:sz w:val="22"/>
          <w:szCs w:val="22"/>
        </w:rPr>
      </w:pPr>
      <w:r w:rsidRPr="007C4F4C">
        <w:rPr>
          <w:rFonts w:eastAsiaTheme="minorHAnsi"/>
          <w:sz w:val="22"/>
          <w:szCs w:val="22"/>
        </w:rPr>
        <w:t>March 2023</w:t>
      </w:r>
      <w:r w:rsidRPr="007C4F4C">
        <w:rPr>
          <w:rFonts w:eastAsiaTheme="minorHAnsi"/>
          <w:sz w:val="22"/>
          <w:szCs w:val="22"/>
        </w:rPr>
        <w:tab/>
        <w:t>5:30-AP3</w:t>
      </w:r>
    </w:p>
    <w:p w:rsidR="002E3B92" w:rsidRPr="007C4F4C" w:rsidRDefault="002E3B92" w:rsidP="002E3B92">
      <w:pPr>
        <w:jc w:val="both"/>
        <w:rPr>
          <w:kern w:val="28"/>
          <w:sz w:val="22"/>
          <w:szCs w:val="20"/>
        </w:rPr>
      </w:pPr>
    </w:p>
    <w:p w:rsidR="002E3B92" w:rsidRPr="007C4F4C" w:rsidRDefault="002E3B92" w:rsidP="002E3B92">
      <w:pPr>
        <w:keepNext/>
        <w:spacing w:before="120" w:after="120"/>
        <w:jc w:val="center"/>
        <w:outlineLvl w:val="0"/>
        <w:rPr>
          <w:rFonts w:ascii="Arial" w:hAnsi="Arial"/>
          <w:b/>
          <w:kern w:val="28"/>
          <w:sz w:val="28"/>
          <w:szCs w:val="20"/>
          <w:u w:val="single"/>
        </w:rPr>
      </w:pPr>
      <w:r w:rsidRPr="007C4F4C">
        <w:rPr>
          <w:rFonts w:ascii="Arial" w:hAnsi="Arial"/>
          <w:b/>
          <w:kern w:val="28"/>
          <w:sz w:val="28"/>
          <w:szCs w:val="20"/>
          <w:u w:val="single"/>
        </w:rPr>
        <w:t>General Personnel</w:t>
      </w:r>
    </w:p>
    <w:p w:rsidR="002E3B92" w:rsidRPr="007C4F4C" w:rsidRDefault="002E3B92" w:rsidP="002E3B92">
      <w:pPr>
        <w:keepNext/>
        <w:spacing w:before="120" w:after="120"/>
        <w:jc w:val="both"/>
        <w:outlineLvl w:val="1"/>
        <w:rPr>
          <w:rFonts w:ascii="Arial" w:hAnsi="Arial"/>
          <w:b/>
          <w:kern w:val="28"/>
          <w:sz w:val="22"/>
          <w:szCs w:val="20"/>
          <w:u w:val="single"/>
        </w:rPr>
      </w:pPr>
      <w:r w:rsidRPr="007C4F4C">
        <w:rPr>
          <w:rFonts w:ascii="Arial" w:hAnsi="Arial"/>
          <w:b/>
          <w:kern w:val="28"/>
          <w:sz w:val="22"/>
          <w:szCs w:val="20"/>
          <w:u w:val="single"/>
        </w:rPr>
        <w:t xml:space="preserve">Administrative Procedure </w:t>
      </w:r>
      <w:r>
        <w:rPr>
          <w:rFonts w:ascii="Arial" w:hAnsi="Arial"/>
          <w:b/>
          <w:kern w:val="28"/>
          <w:sz w:val="22"/>
          <w:szCs w:val="20"/>
          <w:u w:val="single"/>
        </w:rPr>
        <w:t>-</w:t>
      </w:r>
      <w:r w:rsidRPr="007C4F4C">
        <w:rPr>
          <w:rFonts w:ascii="Arial" w:hAnsi="Arial"/>
          <w:b/>
          <w:kern w:val="28"/>
          <w:sz w:val="22"/>
          <w:szCs w:val="20"/>
          <w:u w:val="single"/>
        </w:rPr>
        <w:t xml:space="preserve"> Sexual Misconduct Related Employment History Review (EHR)</w:t>
      </w:r>
    </w:p>
    <w:p w:rsidR="002E3B92" w:rsidRPr="007C4F4C" w:rsidRDefault="002E3B92" w:rsidP="002E3B92">
      <w:pPr>
        <w:spacing w:before="60" w:after="60"/>
        <w:jc w:val="both"/>
        <w:rPr>
          <w:kern w:val="28"/>
          <w:sz w:val="22"/>
          <w:szCs w:val="20"/>
        </w:rPr>
      </w:pPr>
      <w:r w:rsidRPr="007C4F4C">
        <w:rPr>
          <w:kern w:val="28"/>
          <w:sz w:val="22"/>
          <w:szCs w:val="20"/>
        </w:rPr>
        <w:t xml:space="preserve">Prior to hiring an applicant </w:t>
      </w:r>
      <w:r>
        <w:rPr>
          <w:kern w:val="28"/>
          <w:sz w:val="22"/>
          <w:szCs w:val="20"/>
        </w:rPr>
        <w:t xml:space="preserve">for a position involving </w:t>
      </w:r>
      <w:r w:rsidRPr="00F4502F">
        <w:rPr>
          <w:i/>
          <w:kern w:val="28"/>
          <w:sz w:val="22"/>
          <w:szCs w:val="20"/>
        </w:rPr>
        <w:t>direct contact with children or students</w:t>
      </w:r>
      <w:r w:rsidRPr="007C4F4C">
        <w:rPr>
          <w:kern w:val="28"/>
          <w:sz w:val="22"/>
          <w:szCs w:val="20"/>
        </w:rPr>
        <w:t>, a sexual misconduct related employment history review (EHR) must be initiated, but the District may permit the individual to be hired and begin employment pending its outcome. This applies to all permanent and temporary employment positions within a school, including substitute employees and employees of contractors. An EHR is not required for volunteers.</w:t>
      </w:r>
    </w:p>
    <w:p w:rsidR="002E3B92" w:rsidRPr="007C4F4C" w:rsidRDefault="002E3B92" w:rsidP="002E3B92">
      <w:pPr>
        <w:keepNext/>
        <w:spacing w:before="120"/>
        <w:jc w:val="both"/>
        <w:rPr>
          <w:kern w:val="28"/>
          <w:sz w:val="22"/>
          <w:szCs w:val="20"/>
          <w:u w:val="single"/>
        </w:rPr>
      </w:pPr>
      <w:r w:rsidRPr="007C4F4C">
        <w:rPr>
          <w:kern w:val="28"/>
          <w:sz w:val="22"/>
          <w:szCs w:val="20"/>
          <w:u w:val="single"/>
        </w:rPr>
        <w:t>Glossary of Terms</w:t>
      </w:r>
    </w:p>
    <w:p w:rsidR="002E3B92" w:rsidRPr="007C4F4C" w:rsidRDefault="002E3B92" w:rsidP="002E3B92">
      <w:pPr>
        <w:spacing w:before="60" w:after="60"/>
        <w:jc w:val="both"/>
        <w:rPr>
          <w:kern w:val="28"/>
          <w:sz w:val="22"/>
          <w:szCs w:val="20"/>
        </w:rPr>
      </w:pPr>
      <w:r w:rsidRPr="0060796B">
        <w:rPr>
          <w:b/>
          <w:kern w:val="28"/>
          <w:sz w:val="22"/>
          <w:szCs w:val="20"/>
        </w:rPr>
        <w:t>Contractor</w:t>
      </w:r>
      <w:r w:rsidRPr="007C4F4C">
        <w:rPr>
          <w:kern w:val="28"/>
          <w:sz w:val="22"/>
          <w:szCs w:val="20"/>
        </w:rPr>
        <w:t xml:space="preserve"> - </w:t>
      </w:r>
      <w:r>
        <w:rPr>
          <w:kern w:val="28"/>
          <w:sz w:val="22"/>
          <w:szCs w:val="20"/>
        </w:rPr>
        <w:t>A f</w:t>
      </w:r>
      <w:r w:rsidRPr="007C4F4C">
        <w:rPr>
          <w:kern w:val="28"/>
          <w:sz w:val="22"/>
          <w:szCs w:val="20"/>
        </w:rPr>
        <w:t xml:space="preserve">irm holding </w:t>
      </w:r>
      <w:r>
        <w:rPr>
          <w:kern w:val="28"/>
          <w:sz w:val="22"/>
          <w:szCs w:val="20"/>
        </w:rPr>
        <w:t xml:space="preserve">a </w:t>
      </w:r>
      <w:r w:rsidRPr="007C4F4C">
        <w:rPr>
          <w:kern w:val="28"/>
          <w:sz w:val="22"/>
          <w:szCs w:val="20"/>
        </w:rPr>
        <w:t xml:space="preserve">contract with any school including, but not limited to, food service workers, school bus drivers, and other transportation employees who have direct contact with children or students. </w:t>
      </w:r>
      <w:proofErr w:type="gramStart"/>
      <w:r w:rsidRPr="007C4F4C">
        <w:rPr>
          <w:kern w:val="28"/>
          <w:sz w:val="22"/>
          <w:szCs w:val="20"/>
        </w:rPr>
        <w:t>105 ILCS 5/22-94(b), added by P.A. 102-702, eff. 7-1-23.</w:t>
      </w:r>
      <w:proofErr w:type="gramEnd"/>
    </w:p>
    <w:p w:rsidR="002E3B92" w:rsidRPr="007C4F4C" w:rsidRDefault="002E3B92" w:rsidP="002E3B92">
      <w:pPr>
        <w:spacing w:before="60" w:after="60"/>
        <w:jc w:val="both"/>
        <w:rPr>
          <w:kern w:val="28"/>
          <w:sz w:val="22"/>
          <w:szCs w:val="20"/>
        </w:rPr>
      </w:pPr>
      <w:r w:rsidRPr="0060796B">
        <w:rPr>
          <w:b/>
          <w:kern w:val="28"/>
          <w:sz w:val="22"/>
          <w:szCs w:val="20"/>
        </w:rPr>
        <w:t>Direct contact with children or students</w:t>
      </w:r>
      <w:r w:rsidRPr="007C4F4C">
        <w:rPr>
          <w:kern w:val="28"/>
          <w:sz w:val="22"/>
          <w:szCs w:val="20"/>
        </w:rPr>
        <w:t xml:space="preserve"> - The possibility of care, supervision, guidance, or control of children or students or routine interaction with children or students. </w:t>
      </w:r>
      <w:proofErr w:type="gramStart"/>
      <w:r w:rsidRPr="007C4F4C">
        <w:rPr>
          <w:kern w:val="28"/>
          <w:sz w:val="22"/>
          <w:szCs w:val="20"/>
        </w:rPr>
        <w:t>105 ILCS 5/22-94(b), added by P.A. 102-702, eff. 7-1-23.</w:t>
      </w:r>
      <w:proofErr w:type="gramEnd"/>
    </w:p>
    <w:p w:rsidR="002E3B92" w:rsidRPr="007C4F4C" w:rsidRDefault="002E3B92" w:rsidP="002E3B92">
      <w:pPr>
        <w:spacing w:before="60" w:after="60"/>
        <w:jc w:val="both"/>
        <w:rPr>
          <w:kern w:val="28"/>
          <w:sz w:val="22"/>
          <w:szCs w:val="20"/>
        </w:rPr>
      </w:pPr>
      <w:r w:rsidRPr="0060796B">
        <w:rPr>
          <w:b/>
          <w:kern w:val="28"/>
          <w:sz w:val="22"/>
          <w:szCs w:val="20"/>
        </w:rPr>
        <w:t>Initiate an EHR</w:t>
      </w:r>
      <w:r w:rsidRPr="007C4F4C">
        <w:rPr>
          <w:kern w:val="28"/>
          <w:sz w:val="22"/>
          <w:szCs w:val="20"/>
        </w:rPr>
        <w:t xml:space="preserve"> - The District initiates an EHR when it submits an </w:t>
      </w:r>
      <w:r w:rsidRPr="003761DF">
        <w:rPr>
          <w:i/>
          <w:kern w:val="28"/>
          <w:sz w:val="22"/>
          <w:szCs w:val="20"/>
        </w:rPr>
        <w:t>Authorization for Release of Sexual Misconduct-Related Information and Current/Former Employer Response</w:t>
      </w:r>
      <w:r w:rsidRPr="007C4F4C">
        <w:rPr>
          <w:kern w:val="28"/>
          <w:sz w:val="22"/>
          <w:szCs w:val="20"/>
        </w:rPr>
        <w:t xml:space="preserve"> form(s) to every current and previous employer identified by the applicant on said form(s).</w:t>
      </w:r>
    </w:p>
    <w:p w:rsidR="002E3B92" w:rsidRPr="007C4F4C" w:rsidRDefault="002E3B92" w:rsidP="002E3B92">
      <w:pPr>
        <w:spacing w:before="60" w:after="60"/>
        <w:jc w:val="both"/>
        <w:rPr>
          <w:kern w:val="28"/>
          <w:sz w:val="22"/>
          <w:szCs w:val="20"/>
        </w:rPr>
      </w:pPr>
      <w:r w:rsidRPr="0060796B">
        <w:rPr>
          <w:b/>
          <w:kern w:val="28"/>
          <w:sz w:val="22"/>
          <w:szCs w:val="20"/>
        </w:rPr>
        <w:t>School</w:t>
      </w:r>
      <w:r w:rsidRPr="007C4F4C">
        <w:rPr>
          <w:kern w:val="28"/>
          <w:sz w:val="22"/>
          <w:szCs w:val="20"/>
        </w:rPr>
        <w:t xml:space="preserve"> - A public or nonpublic elementary or secondary school. </w:t>
      </w:r>
      <w:proofErr w:type="gramStart"/>
      <w:r w:rsidRPr="007C4F4C">
        <w:rPr>
          <w:kern w:val="28"/>
          <w:sz w:val="22"/>
          <w:szCs w:val="20"/>
        </w:rPr>
        <w:t>105 ILCS 5/22-94(b), added by P.A. 102-702, eff. 7-1-23.</w:t>
      </w:r>
      <w:proofErr w:type="gramEnd"/>
    </w:p>
    <w:p w:rsidR="002E3B92" w:rsidRPr="007C4F4C" w:rsidRDefault="002E3B92" w:rsidP="002E3B92">
      <w:pPr>
        <w:spacing w:before="60" w:after="60"/>
        <w:jc w:val="both"/>
        <w:rPr>
          <w:kern w:val="28"/>
          <w:sz w:val="22"/>
          <w:szCs w:val="20"/>
        </w:rPr>
      </w:pPr>
      <w:r w:rsidRPr="0060796B">
        <w:rPr>
          <w:b/>
          <w:kern w:val="28"/>
          <w:sz w:val="22"/>
          <w:szCs w:val="20"/>
        </w:rPr>
        <w:t>Sexual misconduct</w:t>
      </w:r>
      <w:r w:rsidRPr="007C4F4C">
        <w:rPr>
          <w:kern w:val="28"/>
          <w:sz w:val="22"/>
          <w:szCs w:val="20"/>
        </w:rPr>
        <w:t xml:space="preserve"> - Any act, including but not limited to, any verbal, nonverbal, written, or electronic communication or physical activity, by an employee with direct contact with a </w:t>
      </w:r>
      <w:proofErr w:type="gramStart"/>
      <w:r w:rsidRPr="007C4F4C">
        <w:rPr>
          <w:kern w:val="28"/>
          <w:sz w:val="22"/>
          <w:szCs w:val="20"/>
        </w:rPr>
        <w:t>student, that</w:t>
      </w:r>
      <w:proofErr w:type="gramEnd"/>
      <w:r w:rsidRPr="007C4F4C">
        <w:rPr>
          <w:kern w:val="28"/>
          <w:sz w:val="22"/>
          <w:szCs w:val="20"/>
        </w:rPr>
        <w:t xml:space="preserve"> is directed toward or with a student to establish a romantic or sexual relationship with the student. Examples include but are not limited to: 1) a sexual or romantic invitation, 2) dating or soliciting a date, 3) engaging in sexualized or romantic dialog, 4) making sexually suggestive comments that are directed toward or with a student, 5) self-disclosure or physical exposure of a sexual, romantic, or erotic nature, 6) a sexual, indecent, romantic, or erotic contact with the student. </w:t>
      </w:r>
      <w:proofErr w:type="gramStart"/>
      <w:r w:rsidRPr="007C4F4C">
        <w:rPr>
          <w:kern w:val="28"/>
          <w:sz w:val="22"/>
          <w:szCs w:val="20"/>
        </w:rPr>
        <w:t>105 ILCS 5/22-94(b), added by P.A. 102-702, eff. 7-1-23; 105 ILCS 5/22-85.5(c), added by P.A. 102-676.</w:t>
      </w:r>
      <w:proofErr w:type="gramEnd"/>
    </w:p>
    <w:p w:rsidR="002E3B92" w:rsidRPr="007C4F4C" w:rsidRDefault="002E3B92" w:rsidP="002E3B92">
      <w:pPr>
        <w:keepNext/>
        <w:spacing w:before="120"/>
        <w:jc w:val="both"/>
        <w:rPr>
          <w:kern w:val="28"/>
          <w:sz w:val="22"/>
          <w:szCs w:val="20"/>
          <w:u w:val="single"/>
        </w:rPr>
      </w:pPr>
      <w:r w:rsidRPr="007C4F4C">
        <w:rPr>
          <w:kern w:val="28"/>
          <w:sz w:val="22"/>
          <w:szCs w:val="20"/>
          <w:u w:val="single"/>
        </w:rPr>
        <w:t>Substitute Employees</w:t>
      </w:r>
    </w:p>
    <w:p w:rsidR="002E3B92" w:rsidRPr="007C4F4C" w:rsidRDefault="002E3B92" w:rsidP="002E3B92">
      <w:pPr>
        <w:spacing w:before="60" w:after="60"/>
        <w:jc w:val="both"/>
        <w:rPr>
          <w:kern w:val="28"/>
          <w:sz w:val="22"/>
          <w:szCs w:val="20"/>
        </w:rPr>
      </w:pPr>
      <w:r w:rsidRPr="007C4F4C">
        <w:rPr>
          <w:kern w:val="28"/>
          <w:sz w:val="22"/>
          <w:szCs w:val="20"/>
        </w:rPr>
        <w:t xml:space="preserve">For substitute employees, the EHR is required only prior to the initial hiring of a substitute employee or placement on a school’s </w:t>
      </w:r>
      <w:r>
        <w:rPr>
          <w:kern w:val="28"/>
          <w:sz w:val="22"/>
          <w:szCs w:val="20"/>
        </w:rPr>
        <w:t>or district</w:t>
      </w:r>
      <w:r w:rsidRPr="007C4F4C">
        <w:rPr>
          <w:kern w:val="28"/>
          <w:sz w:val="22"/>
          <w:szCs w:val="20"/>
        </w:rPr>
        <w:t>’</w:t>
      </w:r>
      <w:r>
        <w:rPr>
          <w:kern w:val="28"/>
          <w:sz w:val="22"/>
          <w:szCs w:val="20"/>
        </w:rPr>
        <w:t xml:space="preserve">s </w:t>
      </w:r>
      <w:r w:rsidRPr="007C4F4C">
        <w:rPr>
          <w:kern w:val="28"/>
          <w:sz w:val="22"/>
          <w:szCs w:val="20"/>
        </w:rPr>
        <w:t xml:space="preserve">approved substitute list. A substitute employee seeking to be added to another school’s </w:t>
      </w:r>
      <w:r>
        <w:rPr>
          <w:kern w:val="28"/>
          <w:sz w:val="22"/>
          <w:szCs w:val="20"/>
        </w:rPr>
        <w:t xml:space="preserve">or district's </w:t>
      </w:r>
      <w:r w:rsidRPr="007C4F4C">
        <w:rPr>
          <w:kern w:val="28"/>
          <w:sz w:val="22"/>
          <w:szCs w:val="20"/>
        </w:rPr>
        <w:t>substitute list must undergo another EHR. An EHR conducted upon initial hiring by a contractor or any other entity that furnishes substitute staffing services</w:t>
      </w:r>
      <w:r>
        <w:rPr>
          <w:kern w:val="28"/>
          <w:sz w:val="22"/>
          <w:szCs w:val="20"/>
        </w:rPr>
        <w:t>,</w:t>
      </w:r>
      <w:r w:rsidRPr="007C4F4C">
        <w:rPr>
          <w:kern w:val="28"/>
          <w:sz w:val="22"/>
          <w:szCs w:val="20"/>
        </w:rPr>
        <w:t xml:space="preserve"> e.g., a regional office of education</w:t>
      </w:r>
      <w:r>
        <w:rPr>
          <w:kern w:val="28"/>
          <w:sz w:val="22"/>
          <w:szCs w:val="20"/>
        </w:rPr>
        <w:t>,</w:t>
      </w:r>
      <w:r w:rsidRPr="007C4F4C">
        <w:rPr>
          <w:kern w:val="28"/>
          <w:sz w:val="22"/>
          <w:szCs w:val="20"/>
        </w:rPr>
        <w:t xml:space="preserve"> satisfies the EHR requirement for all schools using that contractor’s/entity’s services. </w:t>
      </w:r>
      <w:proofErr w:type="gramStart"/>
      <w:r w:rsidRPr="007C4F4C">
        <w:rPr>
          <w:kern w:val="28"/>
          <w:sz w:val="22"/>
          <w:szCs w:val="20"/>
        </w:rPr>
        <w:t>105 ILCS 5/22-94(</w:t>
      </w:r>
      <w:proofErr w:type="spellStart"/>
      <w:r w:rsidRPr="007C4F4C">
        <w:rPr>
          <w:kern w:val="28"/>
          <w:sz w:val="22"/>
          <w:szCs w:val="20"/>
        </w:rPr>
        <w:t>i</w:t>
      </w:r>
      <w:proofErr w:type="spellEnd"/>
      <w:r w:rsidRPr="007C4F4C">
        <w:rPr>
          <w:kern w:val="28"/>
          <w:sz w:val="22"/>
          <w:szCs w:val="20"/>
        </w:rPr>
        <w:t>), added by P.A. 102-702, eff. 7-1-23.</w:t>
      </w:r>
      <w:proofErr w:type="gramEnd"/>
    </w:p>
    <w:p w:rsidR="002E3B92" w:rsidRPr="007C4F4C" w:rsidRDefault="002E3B92" w:rsidP="002E3B92">
      <w:pPr>
        <w:keepNext/>
        <w:spacing w:before="120"/>
        <w:jc w:val="both"/>
        <w:rPr>
          <w:kern w:val="28"/>
          <w:sz w:val="22"/>
          <w:szCs w:val="20"/>
          <w:u w:val="single"/>
        </w:rPr>
      </w:pPr>
      <w:r w:rsidRPr="007C4F4C">
        <w:rPr>
          <w:kern w:val="28"/>
          <w:sz w:val="22"/>
          <w:szCs w:val="20"/>
          <w:u w:val="single"/>
        </w:rPr>
        <w:t>Employees of Contractors</w:t>
      </w:r>
    </w:p>
    <w:p w:rsidR="002E3B92" w:rsidRPr="007C4F4C" w:rsidRDefault="002E3B92" w:rsidP="002E3B92">
      <w:pPr>
        <w:spacing w:before="60" w:after="60"/>
        <w:jc w:val="both"/>
        <w:rPr>
          <w:kern w:val="28"/>
          <w:sz w:val="22"/>
          <w:szCs w:val="20"/>
        </w:rPr>
      </w:pPr>
      <w:r w:rsidRPr="007C4F4C">
        <w:rPr>
          <w:kern w:val="28"/>
          <w:sz w:val="22"/>
          <w:szCs w:val="20"/>
        </w:rPr>
        <w:t>For employees of contractors, the EHR is performed either at the time of initial hiring or prior to the employee’s assignment to perform work for a school involving direct contact with children or students. 105 ILCS 5/22-94(j</w:t>
      </w:r>
      <w:proofErr w:type="gramStart"/>
      <w:r w:rsidRPr="007C4F4C">
        <w:rPr>
          <w:kern w:val="28"/>
          <w:sz w:val="22"/>
          <w:szCs w:val="20"/>
        </w:rPr>
        <w:t>)(</w:t>
      </w:r>
      <w:proofErr w:type="gramEnd"/>
      <w:r w:rsidRPr="007C4F4C">
        <w:rPr>
          <w:kern w:val="28"/>
          <w:sz w:val="22"/>
          <w:szCs w:val="20"/>
        </w:rPr>
        <w:t xml:space="preserve">1), added by P.A. 102-702, eff. 7-1-23. Contractors must maintain records documenting EHRs for all such employees and, upon </w:t>
      </w:r>
      <w:r>
        <w:rPr>
          <w:kern w:val="28"/>
          <w:sz w:val="22"/>
          <w:szCs w:val="20"/>
        </w:rPr>
        <w:t>the District</w:t>
      </w:r>
      <w:r w:rsidRPr="007C4F4C">
        <w:rPr>
          <w:kern w:val="28"/>
          <w:sz w:val="22"/>
          <w:szCs w:val="20"/>
        </w:rPr>
        <w:t>’</w:t>
      </w:r>
      <w:r>
        <w:rPr>
          <w:kern w:val="28"/>
          <w:sz w:val="22"/>
          <w:szCs w:val="20"/>
        </w:rPr>
        <w:t xml:space="preserve">s </w:t>
      </w:r>
      <w:r w:rsidRPr="007C4F4C">
        <w:rPr>
          <w:kern w:val="28"/>
          <w:sz w:val="22"/>
          <w:szCs w:val="20"/>
        </w:rPr>
        <w:t>request, provide</w:t>
      </w:r>
      <w:r>
        <w:rPr>
          <w:kern w:val="28"/>
          <w:sz w:val="22"/>
          <w:szCs w:val="20"/>
        </w:rPr>
        <w:t xml:space="preserve"> the District with access to the records</w:t>
      </w:r>
      <w:r w:rsidRPr="007C4F4C">
        <w:rPr>
          <w:kern w:val="28"/>
          <w:sz w:val="22"/>
          <w:szCs w:val="20"/>
        </w:rPr>
        <w:t>. 105 ILCS 5/22-94(j</w:t>
      </w:r>
      <w:proofErr w:type="gramStart"/>
      <w:r w:rsidRPr="007C4F4C">
        <w:rPr>
          <w:kern w:val="28"/>
          <w:sz w:val="22"/>
          <w:szCs w:val="20"/>
        </w:rPr>
        <w:t>)(</w:t>
      </w:r>
      <w:proofErr w:type="gramEnd"/>
      <w:r w:rsidRPr="007C4F4C">
        <w:rPr>
          <w:kern w:val="28"/>
          <w:sz w:val="22"/>
          <w:szCs w:val="20"/>
        </w:rPr>
        <w:t xml:space="preserve">2), added by P.A. 102-702, eff. 7-1-23. See Board policy 4:60, </w:t>
      </w:r>
      <w:r w:rsidRPr="0060796B">
        <w:rPr>
          <w:i/>
          <w:kern w:val="28"/>
          <w:sz w:val="22"/>
          <w:szCs w:val="20"/>
        </w:rPr>
        <w:t>Purchases and Contracts</w:t>
      </w:r>
      <w:r w:rsidRPr="007C4F4C">
        <w:rPr>
          <w:kern w:val="28"/>
          <w:sz w:val="22"/>
          <w:szCs w:val="20"/>
        </w:rPr>
        <w:t xml:space="preserve">, </w:t>
      </w:r>
      <w:r>
        <w:rPr>
          <w:kern w:val="28"/>
          <w:sz w:val="22"/>
          <w:szCs w:val="20"/>
        </w:rPr>
        <w:t xml:space="preserve">administrative procedure 4:60-AP1, </w:t>
      </w:r>
      <w:r w:rsidRPr="00B501F2">
        <w:rPr>
          <w:i/>
          <w:kern w:val="28"/>
          <w:sz w:val="22"/>
          <w:szCs w:val="20"/>
        </w:rPr>
        <w:t>Purchases</w:t>
      </w:r>
      <w:r>
        <w:rPr>
          <w:kern w:val="28"/>
          <w:sz w:val="22"/>
          <w:szCs w:val="20"/>
        </w:rPr>
        <w:t xml:space="preserve">, </w:t>
      </w:r>
      <w:r w:rsidRPr="007C4F4C">
        <w:rPr>
          <w:kern w:val="28"/>
          <w:sz w:val="22"/>
          <w:szCs w:val="20"/>
        </w:rPr>
        <w:t>and administrative procedure 4:60-AP</w:t>
      </w:r>
      <w:r>
        <w:rPr>
          <w:kern w:val="28"/>
          <w:sz w:val="22"/>
          <w:szCs w:val="20"/>
        </w:rPr>
        <w:t>4</w:t>
      </w:r>
      <w:r w:rsidRPr="007C4F4C">
        <w:rPr>
          <w:kern w:val="28"/>
          <w:sz w:val="22"/>
          <w:szCs w:val="20"/>
        </w:rPr>
        <w:t xml:space="preserve">, </w:t>
      </w:r>
      <w:r w:rsidRPr="0060796B">
        <w:rPr>
          <w:i/>
          <w:kern w:val="28"/>
          <w:sz w:val="22"/>
          <w:szCs w:val="20"/>
        </w:rPr>
        <w:t xml:space="preserve">Sexual Misconduct Related Employment History Review </w:t>
      </w:r>
      <w:r>
        <w:rPr>
          <w:i/>
          <w:kern w:val="28"/>
          <w:sz w:val="22"/>
          <w:szCs w:val="20"/>
        </w:rPr>
        <w:t xml:space="preserve">(EHR) </w:t>
      </w:r>
      <w:r w:rsidRPr="0060796B">
        <w:rPr>
          <w:i/>
          <w:kern w:val="28"/>
          <w:sz w:val="22"/>
          <w:szCs w:val="20"/>
        </w:rPr>
        <w:lastRenderedPageBreak/>
        <w:t>of Contractor Employees</w:t>
      </w:r>
      <w:r w:rsidRPr="007C4F4C">
        <w:rPr>
          <w:kern w:val="28"/>
          <w:sz w:val="22"/>
          <w:szCs w:val="20"/>
        </w:rPr>
        <w:t>, for employment history review requirements for employees of contractors who have direct contact with children or students.</w:t>
      </w:r>
    </w:p>
    <w:p w:rsidR="002E3B92" w:rsidRDefault="002E3B92" w:rsidP="002E3B92">
      <w:pPr>
        <w:keepNext/>
        <w:spacing w:before="120"/>
        <w:jc w:val="both"/>
        <w:rPr>
          <w:kern w:val="28"/>
          <w:sz w:val="22"/>
          <w:szCs w:val="20"/>
          <w:u w:val="single"/>
        </w:rPr>
      </w:pPr>
      <w:r w:rsidRPr="007C4F4C">
        <w:rPr>
          <w:kern w:val="28"/>
          <w:sz w:val="22"/>
          <w:szCs w:val="20"/>
          <w:u w:val="single"/>
        </w:rPr>
        <w:t>Employment History Review for Direct Hires</w:t>
      </w:r>
    </w:p>
    <w:tbl>
      <w:tblPr>
        <w:tblW w:w="9007" w:type="dxa"/>
        <w:tblInd w:w="-14" w:type="dxa"/>
        <w:tblLayout w:type="fixed"/>
        <w:tblLook w:val="0000"/>
      </w:tblPr>
      <w:tblGrid>
        <w:gridCol w:w="2257"/>
        <w:gridCol w:w="6750"/>
      </w:tblGrid>
      <w:tr w:rsidR="002E3B92" w:rsidTr="00DB3909">
        <w:trPr>
          <w:tblHeader/>
        </w:trPr>
        <w:tc>
          <w:tcPr>
            <w:tcW w:w="2257" w:type="dxa"/>
            <w:tcBorders>
              <w:top w:val="single" w:sz="6" w:space="0" w:color="000000"/>
              <w:left w:val="single" w:sz="6" w:space="0" w:color="000000"/>
              <w:right w:val="single" w:sz="6" w:space="0" w:color="000000"/>
            </w:tcBorders>
          </w:tcPr>
          <w:p w:rsidR="002E3B92" w:rsidRPr="007C4F4C" w:rsidRDefault="002E3B92" w:rsidP="00DB3909">
            <w:pPr>
              <w:spacing w:before="60" w:after="60"/>
              <w:ind w:left="360"/>
              <w:jc w:val="both"/>
              <w:rPr>
                <w:b/>
                <w:kern w:val="28"/>
                <w:sz w:val="22"/>
                <w:szCs w:val="20"/>
              </w:rPr>
            </w:pPr>
            <w:r w:rsidRPr="007C4F4C">
              <w:rPr>
                <w:b/>
                <w:kern w:val="28"/>
                <w:sz w:val="22"/>
                <w:szCs w:val="20"/>
              </w:rPr>
              <w:t>Actor</w:t>
            </w:r>
          </w:p>
        </w:tc>
        <w:tc>
          <w:tcPr>
            <w:tcW w:w="6750" w:type="dxa"/>
            <w:tcBorders>
              <w:top w:val="single" w:sz="6" w:space="0" w:color="000000"/>
              <w:left w:val="single" w:sz="6" w:space="0" w:color="000000"/>
              <w:right w:val="single" w:sz="6" w:space="0" w:color="000000"/>
            </w:tcBorders>
          </w:tcPr>
          <w:p w:rsidR="002E3B92" w:rsidRPr="007C4F4C" w:rsidRDefault="002E3B92" w:rsidP="00DB3909">
            <w:pPr>
              <w:spacing w:before="60" w:after="60"/>
              <w:ind w:left="360"/>
              <w:jc w:val="both"/>
              <w:rPr>
                <w:b/>
                <w:kern w:val="28"/>
                <w:sz w:val="22"/>
                <w:szCs w:val="20"/>
              </w:rPr>
            </w:pPr>
            <w:r w:rsidRPr="007C4F4C">
              <w:rPr>
                <w:b/>
                <w:kern w:val="28"/>
                <w:sz w:val="22"/>
                <w:szCs w:val="20"/>
              </w:rPr>
              <w:t>Action</w:t>
            </w:r>
          </w:p>
        </w:tc>
      </w:tr>
      <w:tr w:rsidR="002E3B92" w:rsidTr="00DB3909">
        <w:tc>
          <w:tcPr>
            <w:tcW w:w="2257" w:type="dxa"/>
            <w:tcBorders>
              <w:top w:val="single" w:sz="6" w:space="0" w:color="000000"/>
              <w:left w:val="single" w:sz="6" w:space="0" w:color="000000"/>
              <w:bottom w:val="single" w:sz="6" w:space="0" w:color="000000"/>
              <w:right w:val="single" w:sz="6" w:space="0" w:color="000000"/>
            </w:tcBorders>
          </w:tcPr>
          <w:p w:rsidR="002E3B92" w:rsidRPr="007C4F4C" w:rsidRDefault="002E3B92" w:rsidP="00DB3909">
            <w:pPr>
              <w:spacing w:before="60" w:after="60"/>
              <w:rPr>
                <w:kern w:val="28"/>
                <w:sz w:val="22"/>
                <w:szCs w:val="20"/>
              </w:rPr>
            </w:pPr>
            <w:r w:rsidRPr="007C4F4C">
              <w:rPr>
                <w:kern w:val="28"/>
                <w:sz w:val="22"/>
                <w:szCs w:val="20"/>
              </w:rPr>
              <w:t>Board President</w:t>
            </w:r>
          </w:p>
        </w:tc>
        <w:tc>
          <w:tcPr>
            <w:tcW w:w="6750" w:type="dxa"/>
            <w:tcBorders>
              <w:top w:val="single" w:sz="6" w:space="0" w:color="000000"/>
              <w:left w:val="single" w:sz="6" w:space="0" w:color="000000"/>
              <w:bottom w:val="single" w:sz="6" w:space="0" w:color="000000"/>
              <w:right w:val="single" w:sz="6" w:space="0" w:color="000000"/>
            </w:tcBorders>
          </w:tcPr>
          <w:p w:rsidR="002E3B92" w:rsidRPr="007C4F4C" w:rsidRDefault="002E3B92" w:rsidP="00DB3909">
            <w:pPr>
              <w:spacing w:before="60" w:after="60"/>
              <w:jc w:val="both"/>
              <w:rPr>
                <w:kern w:val="28"/>
                <w:sz w:val="22"/>
                <w:szCs w:val="20"/>
              </w:rPr>
            </w:pPr>
            <w:r w:rsidRPr="007C4F4C">
              <w:rPr>
                <w:kern w:val="28"/>
                <w:sz w:val="22"/>
                <w:szCs w:val="20"/>
              </w:rPr>
              <w:t xml:space="preserve">When the applicant is a superintendent candidate, ensures that </w:t>
            </w:r>
            <w:proofErr w:type="gramStart"/>
            <w:r w:rsidRPr="007C4F4C">
              <w:rPr>
                <w:kern w:val="28"/>
                <w:sz w:val="22"/>
                <w:szCs w:val="20"/>
              </w:rPr>
              <w:t>either the</w:t>
            </w:r>
            <w:proofErr w:type="gramEnd"/>
            <w:r w:rsidRPr="007C4F4C">
              <w:rPr>
                <w:kern w:val="28"/>
                <w:sz w:val="22"/>
                <w:szCs w:val="20"/>
              </w:rPr>
              <w:t xml:space="preserve"> r</w:t>
            </w:r>
            <w:r>
              <w:rPr>
                <w:kern w:val="28"/>
                <w:sz w:val="22"/>
                <w:szCs w:val="20"/>
              </w:rPr>
              <w:t>esigning</w:t>
            </w:r>
            <w:r w:rsidRPr="007C4F4C">
              <w:rPr>
                <w:kern w:val="28"/>
                <w:sz w:val="22"/>
                <w:szCs w:val="20"/>
              </w:rPr>
              <w:t xml:space="preserve"> Superintendent, Human Resources </w:t>
            </w:r>
            <w:r>
              <w:rPr>
                <w:kern w:val="28"/>
                <w:sz w:val="22"/>
                <w:szCs w:val="20"/>
              </w:rPr>
              <w:t>Administrator</w:t>
            </w:r>
            <w:r w:rsidRPr="007C4F4C">
              <w:rPr>
                <w:kern w:val="28"/>
                <w:sz w:val="22"/>
                <w:szCs w:val="20"/>
              </w:rPr>
              <w:t>, or designee initiates the EHR.</w:t>
            </w:r>
          </w:p>
        </w:tc>
      </w:tr>
      <w:tr w:rsidR="002E3B92" w:rsidTr="00DB3909">
        <w:tc>
          <w:tcPr>
            <w:tcW w:w="2257" w:type="dxa"/>
            <w:tcBorders>
              <w:top w:val="single" w:sz="6" w:space="0" w:color="000000"/>
              <w:left w:val="single" w:sz="6" w:space="0" w:color="000000"/>
              <w:bottom w:val="single" w:sz="6" w:space="0" w:color="000000"/>
              <w:right w:val="single" w:sz="6" w:space="0" w:color="000000"/>
            </w:tcBorders>
          </w:tcPr>
          <w:p w:rsidR="002E3B92" w:rsidRPr="007C4F4C" w:rsidRDefault="002E3B92" w:rsidP="00DB3909">
            <w:pPr>
              <w:spacing w:before="60" w:after="60"/>
              <w:rPr>
                <w:kern w:val="28"/>
                <w:sz w:val="22"/>
                <w:szCs w:val="20"/>
              </w:rPr>
            </w:pPr>
            <w:r w:rsidRPr="007C4F4C">
              <w:rPr>
                <w:kern w:val="28"/>
                <w:sz w:val="22"/>
                <w:szCs w:val="20"/>
              </w:rPr>
              <w:t>Superintendent, Human Resources Administrator</w:t>
            </w:r>
            <w:r>
              <w:rPr>
                <w:kern w:val="28"/>
                <w:sz w:val="22"/>
                <w:szCs w:val="20"/>
              </w:rPr>
              <w:t>,</w:t>
            </w:r>
            <w:r w:rsidRPr="007C4F4C">
              <w:rPr>
                <w:kern w:val="28"/>
                <w:sz w:val="22"/>
                <w:szCs w:val="20"/>
              </w:rPr>
              <w:t xml:space="preserve"> or designee</w:t>
            </w:r>
          </w:p>
        </w:tc>
        <w:tc>
          <w:tcPr>
            <w:tcW w:w="6750" w:type="dxa"/>
            <w:tcBorders>
              <w:top w:val="single" w:sz="6" w:space="0" w:color="000000"/>
              <w:left w:val="single" w:sz="6" w:space="0" w:color="000000"/>
              <w:bottom w:val="single" w:sz="6" w:space="0" w:color="000000"/>
              <w:right w:val="single" w:sz="6" w:space="0" w:color="000000"/>
            </w:tcBorders>
          </w:tcPr>
          <w:p w:rsidR="002E3B92" w:rsidRPr="007C4F4C" w:rsidRDefault="002E3B92" w:rsidP="00DB3909">
            <w:pPr>
              <w:spacing w:before="60" w:after="60"/>
              <w:jc w:val="both"/>
              <w:rPr>
                <w:kern w:val="28"/>
                <w:sz w:val="22"/>
                <w:szCs w:val="20"/>
              </w:rPr>
            </w:pPr>
            <w:r w:rsidRPr="007C4F4C">
              <w:rPr>
                <w:kern w:val="28"/>
                <w:sz w:val="22"/>
                <w:szCs w:val="20"/>
              </w:rPr>
              <w:t>After a conditional hiring offer has been extended to an applicant for a temporary, permanent, or substitute position involving direct contact with children or students, initiates the EHR and provides the applicant with:</w:t>
            </w:r>
          </w:p>
          <w:p w:rsidR="002E3B92" w:rsidRPr="007C4F4C" w:rsidRDefault="002E3B92" w:rsidP="002E3B92">
            <w:pPr>
              <w:numPr>
                <w:ilvl w:val="0"/>
                <w:numId w:val="1"/>
              </w:numPr>
              <w:jc w:val="both"/>
              <w:rPr>
                <w:kern w:val="28"/>
                <w:sz w:val="22"/>
                <w:szCs w:val="20"/>
              </w:rPr>
            </w:pPr>
            <w:r w:rsidRPr="007C4F4C">
              <w:rPr>
                <w:kern w:val="28"/>
                <w:sz w:val="22"/>
                <w:szCs w:val="20"/>
              </w:rPr>
              <w:t xml:space="preserve">A </w:t>
            </w:r>
            <w:r w:rsidRPr="003761DF">
              <w:rPr>
                <w:i/>
                <w:kern w:val="28"/>
                <w:sz w:val="22"/>
                <w:szCs w:val="20"/>
              </w:rPr>
              <w:t>Sexual Misconduct Disclosure</w:t>
            </w:r>
            <w:r w:rsidRPr="007C4F4C">
              <w:rPr>
                <w:kern w:val="28"/>
                <w:sz w:val="22"/>
                <w:szCs w:val="20"/>
              </w:rPr>
              <w:t xml:space="preserve"> form, using the Ill. State Board of Education (ISBE) </w:t>
            </w:r>
            <w:r w:rsidRPr="003761DF">
              <w:rPr>
                <w:i/>
                <w:kern w:val="28"/>
                <w:sz w:val="22"/>
                <w:szCs w:val="20"/>
              </w:rPr>
              <w:t>Sexual Misconduct Disclosure Template for Applicant</w:t>
            </w:r>
            <w:r w:rsidRPr="007C4F4C">
              <w:rPr>
                <w:kern w:val="28"/>
                <w:sz w:val="22"/>
                <w:szCs w:val="20"/>
              </w:rPr>
              <w:t xml:space="preserve"> at </w:t>
            </w:r>
            <w:hyperlink r:id="rId8" w:history="1">
              <w:r w:rsidRPr="00D52BC1">
                <w:rPr>
                  <w:color w:val="0000FF"/>
                  <w:kern w:val="28"/>
                  <w:sz w:val="22"/>
                  <w:szCs w:val="20"/>
                  <w:u w:val="single"/>
                </w:rPr>
                <w:t>www.isbe.net/Documents/Temp1-ISBE-Sexual-Misconduct-Disclosure-Form-Applicant.pdf</w:t>
              </w:r>
            </w:hyperlink>
            <w:r>
              <w:rPr>
                <w:kern w:val="28"/>
                <w:sz w:val="22"/>
                <w:szCs w:val="20"/>
              </w:rPr>
              <w:t xml:space="preserve">. </w:t>
            </w:r>
          </w:p>
          <w:p w:rsidR="002E3B92" w:rsidRPr="007C4F4C" w:rsidRDefault="002E3B92" w:rsidP="002E3B92">
            <w:pPr>
              <w:numPr>
                <w:ilvl w:val="0"/>
                <w:numId w:val="1"/>
              </w:numPr>
              <w:jc w:val="both"/>
              <w:rPr>
                <w:kern w:val="28"/>
                <w:sz w:val="22"/>
                <w:szCs w:val="20"/>
              </w:rPr>
            </w:pPr>
            <w:r w:rsidRPr="007C4F4C">
              <w:rPr>
                <w:kern w:val="28"/>
                <w:sz w:val="22"/>
                <w:szCs w:val="20"/>
              </w:rPr>
              <w:t xml:space="preserve">Copies of the </w:t>
            </w:r>
            <w:r w:rsidRPr="00350F33">
              <w:rPr>
                <w:i/>
                <w:kern w:val="28"/>
                <w:sz w:val="22"/>
                <w:szCs w:val="20"/>
              </w:rPr>
              <w:t>Authorization for Release of Sexual Misconduct-Related Information and Current/Former Employer Response</w:t>
            </w:r>
            <w:r w:rsidRPr="007C4F4C">
              <w:rPr>
                <w:kern w:val="28"/>
                <w:sz w:val="22"/>
                <w:szCs w:val="20"/>
              </w:rPr>
              <w:t xml:space="preserve"> form, using the ISBE </w:t>
            </w:r>
            <w:r w:rsidRPr="00350F33">
              <w:rPr>
                <w:i/>
                <w:kern w:val="28"/>
                <w:sz w:val="22"/>
                <w:szCs w:val="20"/>
              </w:rPr>
              <w:t>Authorization for Release of Sexual Misconduct-Related Information and Current/Former Employer Response Template</w:t>
            </w:r>
            <w:r w:rsidRPr="007C4F4C">
              <w:rPr>
                <w:kern w:val="28"/>
                <w:sz w:val="22"/>
                <w:szCs w:val="20"/>
              </w:rPr>
              <w:t xml:space="preserve"> at </w:t>
            </w:r>
            <w:hyperlink r:id="rId9" w:history="1">
              <w:r w:rsidRPr="00D52BC1">
                <w:rPr>
                  <w:color w:val="0000FF"/>
                  <w:kern w:val="28"/>
                  <w:sz w:val="22"/>
                  <w:szCs w:val="20"/>
                  <w:u w:val="single"/>
                </w:rPr>
                <w:t>www.isbe.net/Documents/Temp2-Auth-Release-Sexual-Misconduct-Related-Info.pdf</w:t>
              </w:r>
            </w:hyperlink>
            <w:r w:rsidRPr="007C4F4C">
              <w:rPr>
                <w:kern w:val="28"/>
                <w:sz w:val="22"/>
                <w:szCs w:val="20"/>
              </w:rPr>
              <w:t>, for the applicant to complete for each current/former employer,</w:t>
            </w:r>
          </w:p>
          <w:p w:rsidR="002E3B92" w:rsidRPr="007C4F4C" w:rsidRDefault="002E3B92" w:rsidP="002E3B92">
            <w:pPr>
              <w:numPr>
                <w:ilvl w:val="0"/>
                <w:numId w:val="1"/>
              </w:numPr>
              <w:jc w:val="both"/>
              <w:rPr>
                <w:kern w:val="28"/>
                <w:sz w:val="22"/>
                <w:szCs w:val="20"/>
              </w:rPr>
            </w:pPr>
            <w:r w:rsidRPr="007C4F4C">
              <w:rPr>
                <w:kern w:val="28"/>
                <w:sz w:val="22"/>
                <w:szCs w:val="20"/>
              </w:rPr>
              <w:t>Instructions to complete and return all forms within [</w:t>
            </w:r>
            <w:r w:rsidRPr="00350F33">
              <w:rPr>
                <w:i/>
                <w:kern w:val="28"/>
                <w:sz w:val="22"/>
                <w:szCs w:val="20"/>
              </w:rPr>
              <w:t>insert number</w:t>
            </w:r>
            <w:r w:rsidRPr="007C4F4C">
              <w:rPr>
                <w:kern w:val="28"/>
                <w:sz w:val="22"/>
                <w:szCs w:val="20"/>
              </w:rPr>
              <w:t xml:space="preserve">] calendar days after </w:t>
            </w:r>
            <w:sdt>
              <w:sdtPr>
                <w:tag w:val="goog_rdk_1"/>
                <w:id w:val="316463924"/>
              </w:sdtPr>
              <w:sdtContent/>
            </w:sdt>
            <w:r w:rsidRPr="007C4F4C">
              <w:rPr>
                <w:kern w:val="28"/>
                <w:sz w:val="22"/>
                <w:szCs w:val="20"/>
              </w:rPr>
              <w:t>receipt, and</w:t>
            </w:r>
          </w:p>
          <w:p w:rsidR="002E3B92" w:rsidRPr="007C4F4C" w:rsidRDefault="002E3B92" w:rsidP="002E3B92">
            <w:pPr>
              <w:numPr>
                <w:ilvl w:val="0"/>
                <w:numId w:val="1"/>
              </w:numPr>
              <w:jc w:val="both"/>
              <w:rPr>
                <w:kern w:val="28"/>
                <w:sz w:val="22"/>
                <w:szCs w:val="20"/>
              </w:rPr>
            </w:pPr>
            <w:r w:rsidRPr="007C4F4C">
              <w:rPr>
                <w:kern w:val="28"/>
                <w:sz w:val="22"/>
                <w:szCs w:val="20"/>
              </w:rPr>
              <w:t>Notice that the District cannot hire an applicant who does not provide the information required by the forms (105 ILCS 5/22-94(f), added by P.A. 102-702, eff. 7-1-23</w:t>
            </w:r>
            <w:sdt>
              <w:sdtPr>
                <w:tag w:val="goog_rdk_2"/>
                <w:id w:val="-625535642"/>
              </w:sdtPr>
              <w:sdtContent/>
            </w:sdt>
            <w:r w:rsidRPr="007C4F4C">
              <w:rPr>
                <w:kern w:val="28"/>
                <w:sz w:val="22"/>
                <w:szCs w:val="20"/>
              </w:rPr>
              <w:t xml:space="preserve">). </w:t>
            </w:r>
          </w:p>
        </w:tc>
      </w:tr>
      <w:tr w:rsidR="002E3B92" w:rsidTr="00DB3909">
        <w:tc>
          <w:tcPr>
            <w:tcW w:w="2257" w:type="dxa"/>
            <w:tcBorders>
              <w:top w:val="single" w:sz="6" w:space="0" w:color="000000"/>
              <w:left w:val="single" w:sz="6" w:space="0" w:color="000000"/>
              <w:bottom w:val="single" w:sz="6" w:space="0" w:color="000000"/>
              <w:right w:val="single" w:sz="6" w:space="0" w:color="000000"/>
            </w:tcBorders>
          </w:tcPr>
          <w:p w:rsidR="002E3B92" w:rsidRPr="007C4F4C" w:rsidRDefault="002E3B92" w:rsidP="00DB3909">
            <w:pPr>
              <w:spacing w:before="60" w:after="60"/>
              <w:jc w:val="both"/>
              <w:rPr>
                <w:kern w:val="28"/>
                <w:sz w:val="22"/>
                <w:szCs w:val="20"/>
              </w:rPr>
            </w:pPr>
            <w:r w:rsidRPr="007C4F4C">
              <w:rPr>
                <w:kern w:val="28"/>
                <w:sz w:val="22"/>
                <w:szCs w:val="20"/>
              </w:rPr>
              <w:t>Applicant</w:t>
            </w:r>
          </w:p>
        </w:tc>
        <w:tc>
          <w:tcPr>
            <w:tcW w:w="6750" w:type="dxa"/>
            <w:tcBorders>
              <w:top w:val="single" w:sz="6" w:space="0" w:color="000000"/>
              <w:left w:val="single" w:sz="6" w:space="0" w:color="000000"/>
              <w:bottom w:val="single" w:sz="6" w:space="0" w:color="000000"/>
              <w:right w:val="single" w:sz="6" w:space="0" w:color="000000"/>
            </w:tcBorders>
          </w:tcPr>
          <w:p w:rsidR="002E3B92" w:rsidRPr="007C4F4C" w:rsidRDefault="002E3B92" w:rsidP="00DB3909">
            <w:pPr>
              <w:spacing w:before="60" w:after="60"/>
              <w:jc w:val="both"/>
              <w:rPr>
                <w:kern w:val="28"/>
                <w:sz w:val="22"/>
                <w:szCs w:val="20"/>
              </w:rPr>
            </w:pPr>
            <w:r w:rsidRPr="007C4F4C">
              <w:rPr>
                <w:kern w:val="28"/>
                <w:sz w:val="22"/>
                <w:szCs w:val="20"/>
              </w:rPr>
              <w:t xml:space="preserve">Completes </w:t>
            </w:r>
            <w:r>
              <w:rPr>
                <w:kern w:val="28"/>
                <w:sz w:val="22"/>
                <w:szCs w:val="20"/>
              </w:rPr>
              <w:t>the</w:t>
            </w:r>
            <w:r w:rsidRPr="007C4F4C">
              <w:rPr>
                <w:kern w:val="28"/>
                <w:sz w:val="22"/>
                <w:szCs w:val="20"/>
              </w:rPr>
              <w:t xml:space="preserve"> </w:t>
            </w:r>
            <w:r w:rsidRPr="00350F33">
              <w:rPr>
                <w:i/>
                <w:kern w:val="28"/>
                <w:sz w:val="22"/>
                <w:szCs w:val="20"/>
              </w:rPr>
              <w:t>Sexual Misconduct Disclosure</w:t>
            </w:r>
            <w:r w:rsidRPr="007C4F4C">
              <w:rPr>
                <w:kern w:val="28"/>
                <w:sz w:val="22"/>
                <w:szCs w:val="20"/>
              </w:rPr>
              <w:t xml:space="preserve"> form and </w:t>
            </w:r>
            <w:r w:rsidRPr="00350F33">
              <w:rPr>
                <w:i/>
                <w:kern w:val="28"/>
                <w:sz w:val="22"/>
                <w:szCs w:val="20"/>
              </w:rPr>
              <w:t>Authorization for Release of Sexual Misconduct-Related Information and Current/Former Employer Response</w:t>
            </w:r>
            <w:r w:rsidRPr="007C4F4C">
              <w:rPr>
                <w:kern w:val="28"/>
                <w:sz w:val="22"/>
                <w:szCs w:val="20"/>
              </w:rPr>
              <w:t xml:space="preserve"> form(s) and returns them to the Superintendent, Human Resources Administrator and/or designee. 105 ILCS 5/22-94(c</w:t>
            </w:r>
            <w:proofErr w:type="gramStart"/>
            <w:r w:rsidRPr="007C4F4C">
              <w:rPr>
                <w:kern w:val="28"/>
                <w:sz w:val="22"/>
                <w:szCs w:val="20"/>
              </w:rPr>
              <w:t>)(</w:t>
            </w:r>
            <w:proofErr w:type="gramEnd"/>
            <w:r w:rsidRPr="007C4F4C">
              <w:rPr>
                <w:kern w:val="28"/>
                <w:sz w:val="22"/>
                <w:szCs w:val="20"/>
              </w:rPr>
              <w:t>3), added by P.A. 102-702, eff. 7-1-23.</w:t>
            </w:r>
          </w:p>
        </w:tc>
      </w:tr>
      <w:tr w:rsidR="002E3B92" w:rsidTr="00DB3909">
        <w:trPr>
          <w:trHeight w:val="1758"/>
        </w:trPr>
        <w:tc>
          <w:tcPr>
            <w:tcW w:w="2257" w:type="dxa"/>
            <w:tcBorders>
              <w:top w:val="single" w:sz="6" w:space="0" w:color="000000"/>
              <w:left w:val="single" w:sz="6" w:space="0" w:color="000000"/>
              <w:bottom w:val="single" w:sz="6" w:space="0" w:color="000000"/>
              <w:right w:val="single" w:sz="6" w:space="0" w:color="000000"/>
            </w:tcBorders>
          </w:tcPr>
          <w:p w:rsidR="002E3B92" w:rsidRPr="007C4F4C" w:rsidRDefault="002E3B92" w:rsidP="00DB3909">
            <w:pPr>
              <w:spacing w:before="60" w:after="60"/>
              <w:rPr>
                <w:kern w:val="28"/>
                <w:sz w:val="22"/>
                <w:szCs w:val="20"/>
              </w:rPr>
            </w:pPr>
            <w:r w:rsidRPr="007C4F4C">
              <w:rPr>
                <w:kern w:val="28"/>
                <w:sz w:val="22"/>
                <w:szCs w:val="20"/>
              </w:rPr>
              <w:t>Superintendent, Human Resources Administrator</w:t>
            </w:r>
            <w:r>
              <w:rPr>
                <w:kern w:val="28"/>
                <w:sz w:val="22"/>
                <w:szCs w:val="20"/>
              </w:rPr>
              <w:t>,</w:t>
            </w:r>
            <w:r w:rsidRPr="007C4F4C">
              <w:rPr>
                <w:kern w:val="28"/>
                <w:sz w:val="22"/>
                <w:szCs w:val="20"/>
              </w:rPr>
              <w:t xml:space="preserve"> or designee</w:t>
            </w:r>
          </w:p>
        </w:tc>
        <w:tc>
          <w:tcPr>
            <w:tcW w:w="6750" w:type="dxa"/>
            <w:tcBorders>
              <w:top w:val="single" w:sz="6" w:space="0" w:color="000000"/>
              <w:left w:val="single" w:sz="6" w:space="0" w:color="000000"/>
              <w:bottom w:val="single" w:sz="6" w:space="0" w:color="000000"/>
              <w:right w:val="single" w:sz="6" w:space="0" w:color="000000"/>
            </w:tcBorders>
          </w:tcPr>
          <w:p w:rsidR="002E3B92" w:rsidRPr="007C4F4C" w:rsidRDefault="002E3B92" w:rsidP="00DB3909">
            <w:pPr>
              <w:spacing w:before="60" w:after="60"/>
              <w:jc w:val="both"/>
              <w:rPr>
                <w:kern w:val="28"/>
                <w:sz w:val="22"/>
                <w:szCs w:val="20"/>
              </w:rPr>
            </w:pPr>
            <w:r w:rsidRPr="007C4F4C">
              <w:rPr>
                <w:kern w:val="28"/>
                <w:sz w:val="22"/>
                <w:szCs w:val="20"/>
              </w:rPr>
              <w:t xml:space="preserve">Reviews the applicant’s completed </w:t>
            </w:r>
            <w:r w:rsidRPr="00D04D5A">
              <w:rPr>
                <w:i/>
                <w:kern w:val="28"/>
                <w:sz w:val="22"/>
                <w:szCs w:val="20"/>
              </w:rPr>
              <w:t>Sexual Misconduct Disclosure</w:t>
            </w:r>
            <w:r w:rsidRPr="007C4F4C">
              <w:rPr>
                <w:kern w:val="28"/>
                <w:sz w:val="22"/>
                <w:szCs w:val="20"/>
              </w:rPr>
              <w:t xml:space="preserve"> form and </w:t>
            </w:r>
            <w:r w:rsidRPr="00D04D5A">
              <w:rPr>
                <w:i/>
                <w:kern w:val="28"/>
                <w:sz w:val="22"/>
                <w:szCs w:val="20"/>
              </w:rPr>
              <w:t>Authorization for Release of Sexual Misconduct-Related Information and Current/Former Employer Response</w:t>
            </w:r>
            <w:r w:rsidRPr="007C4F4C">
              <w:rPr>
                <w:kern w:val="28"/>
                <w:sz w:val="22"/>
                <w:szCs w:val="20"/>
              </w:rPr>
              <w:t xml:space="preserve"> form</w:t>
            </w:r>
            <w:r>
              <w:rPr>
                <w:kern w:val="28"/>
                <w:sz w:val="22"/>
                <w:szCs w:val="20"/>
              </w:rPr>
              <w:t>(</w:t>
            </w:r>
            <w:r w:rsidRPr="007C4F4C">
              <w:rPr>
                <w:kern w:val="28"/>
                <w:sz w:val="22"/>
                <w:szCs w:val="20"/>
              </w:rPr>
              <w:t>s</w:t>
            </w:r>
            <w:r>
              <w:rPr>
                <w:kern w:val="28"/>
                <w:sz w:val="22"/>
                <w:szCs w:val="20"/>
              </w:rPr>
              <w:t>)</w:t>
            </w:r>
            <w:r w:rsidRPr="007C4F4C">
              <w:rPr>
                <w:kern w:val="28"/>
                <w:sz w:val="22"/>
                <w:szCs w:val="20"/>
              </w:rPr>
              <w:t xml:space="preserve">. Maintains copies of these forms in the personnel file. See policy 5:150, </w:t>
            </w:r>
            <w:r w:rsidRPr="00D04D5A">
              <w:rPr>
                <w:i/>
                <w:kern w:val="28"/>
                <w:sz w:val="22"/>
                <w:szCs w:val="20"/>
              </w:rPr>
              <w:t>Personnel Records</w:t>
            </w:r>
            <w:r w:rsidRPr="007C4F4C">
              <w:rPr>
                <w:kern w:val="28"/>
                <w:sz w:val="22"/>
                <w:szCs w:val="20"/>
              </w:rPr>
              <w:t xml:space="preserve">, and </w:t>
            </w:r>
            <w:r>
              <w:rPr>
                <w:kern w:val="28"/>
                <w:sz w:val="22"/>
                <w:szCs w:val="20"/>
              </w:rPr>
              <w:t xml:space="preserve">administrative </w:t>
            </w:r>
            <w:r w:rsidRPr="007C4F4C">
              <w:rPr>
                <w:kern w:val="28"/>
                <w:sz w:val="22"/>
                <w:szCs w:val="20"/>
              </w:rPr>
              <w:t xml:space="preserve">procedure 5:150-AP, </w:t>
            </w:r>
            <w:r w:rsidRPr="00E531F4">
              <w:rPr>
                <w:i/>
                <w:kern w:val="28"/>
                <w:sz w:val="22"/>
                <w:szCs w:val="20"/>
              </w:rPr>
              <w:t>Personnel Records</w:t>
            </w:r>
            <w:r w:rsidRPr="007C4F4C">
              <w:rPr>
                <w:kern w:val="28"/>
                <w:sz w:val="22"/>
                <w:szCs w:val="20"/>
              </w:rPr>
              <w:t>.</w:t>
            </w:r>
          </w:p>
          <w:p w:rsidR="002E3B92" w:rsidRPr="007C4F4C" w:rsidRDefault="002E3B92" w:rsidP="00DB3909">
            <w:pPr>
              <w:spacing w:before="60" w:after="60"/>
              <w:jc w:val="both"/>
              <w:rPr>
                <w:kern w:val="28"/>
                <w:sz w:val="22"/>
                <w:szCs w:val="20"/>
              </w:rPr>
            </w:pPr>
            <w:r w:rsidRPr="007C4F4C">
              <w:rPr>
                <w:kern w:val="28"/>
                <w:sz w:val="22"/>
                <w:szCs w:val="20"/>
              </w:rPr>
              <w:t xml:space="preserve">Provides, to all employers identified by the applicant in Section 3 of the </w:t>
            </w:r>
            <w:r w:rsidRPr="00D04D5A">
              <w:rPr>
                <w:i/>
                <w:kern w:val="28"/>
                <w:sz w:val="22"/>
                <w:szCs w:val="20"/>
              </w:rPr>
              <w:t>Authorization for Release of Sexual Misconduct-Related Information and Current/Former Employer Response</w:t>
            </w:r>
            <w:r w:rsidRPr="007C4F4C">
              <w:rPr>
                <w:kern w:val="28"/>
                <w:sz w:val="22"/>
                <w:szCs w:val="20"/>
              </w:rPr>
              <w:t xml:space="preserve"> form:</w:t>
            </w:r>
          </w:p>
          <w:p w:rsidR="002E3B92" w:rsidRPr="007C4F4C" w:rsidRDefault="002E3B92" w:rsidP="002E3B92">
            <w:pPr>
              <w:numPr>
                <w:ilvl w:val="0"/>
                <w:numId w:val="2"/>
              </w:numPr>
              <w:jc w:val="both"/>
              <w:rPr>
                <w:kern w:val="28"/>
                <w:sz w:val="22"/>
                <w:szCs w:val="20"/>
              </w:rPr>
            </w:pPr>
            <w:r w:rsidRPr="007C4F4C">
              <w:rPr>
                <w:kern w:val="28"/>
                <w:sz w:val="22"/>
                <w:szCs w:val="20"/>
              </w:rPr>
              <w:t xml:space="preserve">A copy of the </w:t>
            </w:r>
            <w:r w:rsidRPr="00FF4567">
              <w:rPr>
                <w:i/>
                <w:kern w:val="28"/>
                <w:sz w:val="22"/>
                <w:szCs w:val="20"/>
              </w:rPr>
              <w:t>Authorization for Release of Sexual Misconduct-Related Information and Current/Former Employer Response</w:t>
            </w:r>
            <w:r w:rsidRPr="007C4F4C">
              <w:rPr>
                <w:kern w:val="28"/>
                <w:sz w:val="22"/>
                <w:szCs w:val="20"/>
              </w:rPr>
              <w:t xml:space="preserve"> form (105 ILCS 5/22-94(c)(4), added by P.A. 102-702, eff. 7-1-23); and</w:t>
            </w:r>
          </w:p>
          <w:p w:rsidR="002E3B92" w:rsidRPr="007C4F4C" w:rsidRDefault="002E3B92" w:rsidP="002E3B92">
            <w:pPr>
              <w:numPr>
                <w:ilvl w:val="0"/>
                <w:numId w:val="1"/>
              </w:numPr>
              <w:jc w:val="both"/>
              <w:rPr>
                <w:kern w:val="28"/>
                <w:sz w:val="22"/>
                <w:szCs w:val="20"/>
              </w:rPr>
            </w:pPr>
            <w:r w:rsidRPr="007C4F4C">
              <w:rPr>
                <w:kern w:val="28"/>
                <w:sz w:val="22"/>
                <w:szCs w:val="20"/>
              </w:rPr>
              <w:t>Instructions to complete the form and return it to the Superintendent, Human Resources Administrator</w:t>
            </w:r>
            <w:r>
              <w:rPr>
                <w:kern w:val="28"/>
                <w:sz w:val="22"/>
                <w:szCs w:val="20"/>
              </w:rPr>
              <w:t>,</w:t>
            </w:r>
            <w:r w:rsidRPr="007C4F4C">
              <w:rPr>
                <w:kern w:val="28"/>
                <w:sz w:val="22"/>
                <w:szCs w:val="20"/>
              </w:rPr>
              <w:t xml:space="preserve"> or </w:t>
            </w:r>
            <w:r>
              <w:rPr>
                <w:kern w:val="28"/>
                <w:sz w:val="22"/>
                <w:szCs w:val="20"/>
              </w:rPr>
              <w:t>d</w:t>
            </w:r>
            <w:r w:rsidRPr="007C4F4C">
              <w:rPr>
                <w:kern w:val="28"/>
                <w:sz w:val="22"/>
                <w:szCs w:val="20"/>
              </w:rPr>
              <w:t xml:space="preserve">esignee within 20 calendar days (105 ILCS 5/22-94(e), added by P.A. 102-702, eff. 7-1-23) after </w:t>
            </w:r>
            <w:sdt>
              <w:sdtPr>
                <w:tag w:val="goog_rdk_3"/>
                <w:id w:val="1660338116"/>
              </w:sdtPr>
              <w:sdtContent/>
            </w:sdt>
            <w:r w:rsidRPr="007C4F4C">
              <w:rPr>
                <w:kern w:val="28"/>
                <w:sz w:val="22"/>
                <w:szCs w:val="20"/>
              </w:rPr>
              <w:t>receipt.</w:t>
            </w:r>
          </w:p>
          <w:p w:rsidR="002E3B92" w:rsidRPr="007C4F4C" w:rsidRDefault="002E3B92" w:rsidP="00DB3909">
            <w:pPr>
              <w:spacing w:before="60" w:after="60"/>
              <w:jc w:val="both"/>
              <w:rPr>
                <w:kern w:val="28"/>
                <w:sz w:val="22"/>
                <w:szCs w:val="20"/>
              </w:rPr>
            </w:pPr>
            <w:r w:rsidRPr="007C4F4C">
              <w:rPr>
                <w:kern w:val="28"/>
                <w:sz w:val="22"/>
                <w:szCs w:val="20"/>
              </w:rPr>
              <w:lastRenderedPageBreak/>
              <w:t>For applicants licensed by ISBE, verifies the applicant’s reported previous employers with previous employers in ISBE’s Educator Licensure Information System (ELIS) to ensure accuracy. 105 ILCS 5/22-94(c</w:t>
            </w:r>
            <w:proofErr w:type="gramStart"/>
            <w:r w:rsidRPr="007C4F4C">
              <w:rPr>
                <w:kern w:val="28"/>
                <w:sz w:val="22"/>
                <w:szCs w:val="20"/>
              </w:rPr>
              <w:t>)(</w:t>
            </w:r>
            <w:proofErr w:type="gramEnd"/>
            <w:r w:rsidRPr="007C4F4C">
              <w:rPr>
                <w:kern w:val="28"/>
                <w:sz w:val="22"/>
                <w:szCs w:val="20"/>
              </w:rPr>
              <w:t>5), added by P.A. 102-702, eff. 7-1-23.</w:t>
            </w:r>
          </w:p>
          <w:p w:rsidR="002E3B92" w:rsidRPr="007C4F4C" w:rsidRDefault="002E3B92" w:rsidP="00DB3909">
            <w:pPr>
              <w:spacing w:before="60" w:after="60"/>
              <w:jc w:val="both"/>
              <w:rPr>
                <w:kern w:val="28"/>
                <w:sz w:val="22"/>
                <w:szCs w:val="20"/>
              </w:rPr>
            </w:pPr>
            <w:r w:rsidRPr="007C4F4C">
              <w:rPr>
                <w:kern w:val="28"/>
                <w:sz w:val="22"/>
                <w:szCs w:val="20"/>
              </w:rPr>
              <w:t>Reviews all responses received from the applicant’s employers and uses information in the responses to evaluate the applicant’s fitness to be hired or for continued employment. 105 ILCS 5/22-94(e), added by P.A. 102-702, eff. 7-1-23.</w:t>
            </w:r>
          </w:p>
          <w:p w:rsidR="002E3B92" w:rsidRPr="007C4F4C" w:rsidRDefault="002E3B92" w:rsidP="00DB3909">
            <w:pPr>
              <w:spacing w:before="60" w:after="60"/>
              <w:jc w:val="both"/>
              <w:rPr>
                <w:kern w:val="28"/>
                <w:sz w:val="22"/>
                <w:szCs w:val="20"/>
              </w:rPr>
            </w:pPr>
            <w:r w:rsidRPr="007C4F4C">
              <w:rPr>
                <w:kern w:val="28"/>
                <w:sz w:val="22"/>
                <w:szCs w:val="20"/>
              </w:rPr>
              <w:t xml:space="preserve">May report information in the responses, as appropriate, to ISBE, a state licensing agency, a law enforcement agency, a child protective services agency, another school or contractor, or a prospective employer. </w:t>
            </w:r>
            <w:r w:rsidRPr="00FF4567">
              <w:rPr>
                <w:kern w:val="28"/>
                <w:sz w:val="22"/>
                <w:szCs w:val="20"/>
                <w:u w:val="single"/>
              </w:rPr>
              <w:t>Id</w:t>
            </w:r>
            <w:r w:rsidRPr="007C4F4C">
              <w:rPr>
                <w:kern w:val="28"/>
                <w:sz w:val="22"/>
                <w:szCs w:val="20"/>
              </w:rPr>
              <w:t>.</w:t>
            </w:r>
          </w:p>
          <w:p w:rsidR="002E3B92" w:rsidRPr="007C4F4C" w:rsidRDefault="002E3B92" w:rsidP="00DB3909">
            <w:pPr>
              <w:spacing w:before="60" w:after="60"/>
              <w:jc w:val="both"/>
              <w:rPr>
                <w:kern w:val="28"/>
                <w:sz w:val="22"/>
                <w:szCs w:val="20"/>
              </w:rPr>
            </w:pPr>
            <w:r w:rsidRPr="00FF4567">
              <w:rPr>
                <w:b/>
                <w:kern w:val="28"/>
                <w:sz w:val="22"/>
                <w:szCs w:val="20"/>
              </w:rPr>
              <w:t>Note:</w:t>
            </w:r>
            <w:r w:rsidRPr="007C4F4C">
              <w:rPr>
                <w:kern w:val="28"/>
                <w:sz w:val="22"/>
                <w:szCs w:val="20"/>
              </w:rPr>
              <w:t xml:space="preserve"> An employer, school, school administrator, or contractor who provides information or records about a current or former employee or applicant is immune from criminal and civil liability for the disclosure of the information or records, unless the information or records provided were knowingly false. </w:t>
            </w:r>
            <w:r w:rsidRPr="00FF4567">
              <w:rPr>
                <w:kern w:val="28"/>
                <w:sz w:val="22"/>
                <w:szCs w:val="20"/>
                <w:u w:val="single"/>
              </w:rPr>
              <w:t>Id</w:t>
            </w:r>
            <w:r w:rsidRPr="007C4F4C">
              <w:rPr>
                <w:kern w:val="28"/>
                <w:sz w:val="22"/>
                <w:szCs w:val="20"/>
              </w:rPr>
              <w:t>.</w:t>
            </w:r>
          </w:p>
          <w:p w:rsidR="002E3B92" w:rsidRPr="007C4F4C" w:rsidRDefault="002E3B92" w:rsidP="00DB3909">
            <w:pPr>
              <w:spacing w:before="60" w:after="60"/>
              <w:jc w:val="both"/>
              <w:rPr>
                <w:kern w:val="28"/>
                <w:sz w:val="22"/>
                <w:szCs w:val="20"/>
              </w:rPr>
            </w:pPr>
            <w:r w:rsidRPr="007C4F4C">
              <w:rPr>
                <w:kern w:val="28"/>
                <w:sz w:val="22"/>
                <w:szCs w:val="20"/>
              </w:rPr>
              <w:t>Maintains</w:t>
            </w:r>
            <w:r>
              <w:rPr>
                <w:kern w:val="28"/>
                <w:sz w:val="22"/>
                <w:szCs w:val="20"/>
              </w:rPr>
              <w:t xml:space="preserve"> the </w:t>
            </w:r>
            <w:r w:rsidRPr="003761DF">
              <w:rPr>
                <w:i/>
                <w:kern w:val="28"/>
                <w:sz w:val="22"/>
                <w:szCs w:val="20"/>
              </w:rPr>
              <w:t>Sexual Misconduct Disclosure</w:t>
            </w:r>
            <w:r w:rsidRPr="00E531F4">
              <w:rPr>
                <w:kern w:val="28"/>
                <w:sz w:val="22"/>
                <w:szCs w:val="20"/>
              </w:rPr>
              <w:t xml:space="preserve"> form</w:t>
            </w:r>
            <w:r>
              <w:rPr>
                <w:kern w:val="28"/>
                <w:sz w:val="22"/>
                <w:szCs w:val="20"/>
              </w:rPr>
              <w:t xml:space="preserve"> and</w:t>
            </w:r>
            <w:r w:rsidRPr="007C4F4C">
              <w:rPr>
                <w:kern w:val="28"/>
                <w:sz w:val="22"/>
                <w:szCs w:val="20"/>
              </w:rPr>
              <w:t xml:space="preserve"> all responses received from the current/former employers in the personnel file. See policy 5:150, </w:t>
            </w:r>
            <w:r w:rsidRPr="00FF4567">
              <w:rPr>
                <w:i/>
                <w:kern w:val="28"/>
                <w:sz w:val="22"/>
                <w:szCs w:val="20"/>
              </w:rPr>
              <w:t>Personnel Records</w:t>
            </w:r>
            <w:r w:rsidRPr="007C4F4C">
              <w:rPr>
                <w:kern w:val="28"/>
                <w:sz w:val="22"/>
                <w:szCs w:val="20"/>
              </w:rPr>
              <w:t xml:space="preserve">, and </w:t>
            </w:r>
            <w:r>
              <w:rPr>
                <w:kern w:val="28"/>
                <w:sz w:val="22"/>
                <w:szCs w:val="20"/>
              </w:rPr>
              <w:t xml:space="preserve">administrative </w:t>
            </w:r>
            <w:r w:rsidRPr="007C4F4C">
              <w:rPr>
                <w:kern w:val="28"/>
                <w:sz w:val="22"/>
                <w:szCs w:val="20"/>
              </w:rPr>
              <w:t xml:space="preserve">procedure 5:150-AP, </w:t>
            </w:r>
            <w:r w:rsidRPr="00FF4567">
              <w:rPr>
                <w:i/>
                <w:kern w:val="28"/>
                <w:sz w:val="22"/>
                <w:szCs w:val="20"/>
              </w:rPr>
              <w:t>Personnel Records</w:t>
            </w:r>
            <w:r w:rsidRPr="007C4F4C">
              <w:rPr>
                <w:kern w:val="28"/>
                <w:sz w:val="22"/>
                <w:szCs w:val="20"/>
              </w:rPr>
              <w:t>.</w:t>
            </w:r>
          </w:p>
        </w:tc>
      </w:tr>
    </w:tbl>
    <w:p w:rsidR="002E3B92" w:rsidRPr="007C4F4C" w:rsidRDefault="002E3B92" w:rsidP="002E3B92">
      <w:pPr>
        <w:jc w:val="both"/>
        <w:rPr>
          <w:kern w:val="28"/>
          <w:sz w:val="22"/>
          <w:szCs w:val="20"/>
        </w:rPr>
        <w:sectPr w:rsidR="002E3B92" w:rsidRPr="007C4F4C" w:rsidSect="004E3BD8">
          <w:footerReference w:type="default" r:id="rId10"/>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pPr>
    </w:p>
    <w:p w:rsidR="00577B8C" w:rsidRDefault="00577B8C"/>
    <w:sectPr w:rsidR="00577B8C" w:rsidSect="00577B8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E37" w:rsidRDefault="00281E37" w:rsidP="00020350">
      <w:r>
        <w:separator/>
      </w:r>
    </w:p>
  </w:endnote>
  <w:endnote w:type="continuationSeparator" w:id="0">
    <w:p w:rsidR="00281E37" w:rsidRDefault="00281E37" w:rsidP="00020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92" w:rsidRDefault="002E3B92" w:rsidP="0005662A">
    <w:pPr>
      <w:pStyle w:val="IASBFooter"/>
    </w:pPr>
  </w:p>
  <w:p w:rsidR="002E3B92" w:rsidRPr="006A595C" w:rsidRDefault="002E3B92" w:rsidP="0005662A">
    <w:pPr>
      <w:pStyle w:val="IASBFooter"/>
    </w:pPr>
    <w:r>
      <w:t>5:30-AP3</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3</w:t>
      </w:r>
    </w:fldSimple>
  </w:p>
  <w:p w:rsidR="002E3B92" w:rsidRDefault="002E3B92" w:rsidP="0005662A">
    <w:pPr>
      <w:pStyle w:val="IASB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50" w:rsidRDefault="000203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E37" w:rsidRDefault="00281E37" w:rsidP="00020350">
      <w:r>
        <w:separator/>
      </w:r>
    </w:p>
  </w:footnote>
  <w:footnote w:type="continuationSeparator" w:id="0">
    <w:p w:rsidR="00281E37" w:rsidRDefault="00281E37" w:rsidP="00020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F89A0"/>
    <w:multiLevelType w:val="hybridMultilevel"/>
    <w:tmpl w:val="F17A70D8"/>
    <w:lvl w:ilvl="0" w:tplc="B030BA18">
      <w:start w:val="1"/>
      <w:numFmt w:val="decimal"/>
      <w:pStyle w:val="ListNumber3"/>
      <w:lvlText w:val="%1."/>
      <w:lvlJc w:val="left"/>
      <w:pPr>
        <w:ind w:left="720" w:hanging="360"/>
      </w:pPr>
      <w:rPr>
        <w:rFonts w:hint="default"/>
      </w:rPr>
    </w:lvl>
    <w:lvl w:ilvl="1" w:tplc="E4FADDAA">
      <w:start w:val="1"/>
      <w:numFmt w:val="lowerLetter"/>
      <w:lvlText w:val="%2."/>
      <w:lvlJc w:val="left"/>
      <w:pPr>
        <w:ind w:left="1440" w:hanging="360"/>
      </w:pPr>
    </w:lvl>
    <w:lvl w:ilvl="2" w:tplc="560C8B5C">
      <w:start w:val="1"/>
      <w:numFmt w:val="lowerRoman"/>
      <w:lvlText w:val="%3."/>
      <w:lvlJc w:val="right"/>
      <w:pPr>
        <w:ind w:left="2160" w:hanging="180"/>
      </w:pPr>
    </w:lvl>
    <w:lvl w:ilvl="3" w:tplc="F20EB784" w:tentative="1">
      <w:start w:val="1"/>
      <w:numFmt w:val="decimal"/>
      <w:lvlText w:val="%4."/>
      <w:lvlJc w:val="left"/>
      <w:pPr>
        <w:ind w:left="2880" w:hanging="360"/>
      </w:pPr>
    </w:lvl>
    <w:lvl w:ilvl="4" w:tplc="CF8809B0" w:tentative="1">
      <w:start w:val="1"/>
      <w:numFmt w:val="lowerLetter"/>
      <w:lvlText w:val="%5."/>
      <w:lvlJc w:val="left"/>
      <w:pPr>
        <w:ind w:left="3600" w:hanging="360"/>
      </w:pPr>
    </w:lvl>
    <w:lvl w:ilvl="5" w:tplc="E67E3442" w:tentative="1">
      <w:start w:val="1"/>
      <w:numFmt w:val="lowerRoman"/>
      <w:lvlText w:val="%6."/>
      <w:lvlJc w:val="right"/>
      <w:pPr>
        <w:ind w:left="4320" w:hanging="180"/>
      </w:pPr>
    </w:lvl>
    <w:lvl w:ilvl="6" w:tplc="3F585CA2" w:tentative="1">
      <w:start w:val="1"/>
      <w:numFmt w:val="decimal"/>
      <w:lvlText w:val="%7."/>
      <w:lvlJc w:val="left"/>
      <w:pPr>
        <w:ind w:left="5040" w:hanging="360"/>
      </w:pPr>
    </w:lvl>
    <w:lvl w:ilvl="7" w:tplc="1F428CF0" w:tentative="1">
      <w:start w:val="1"/>
      <w:numFmt w:val="lowerLetter"/>
      <w:lvlText w:val="%8."/>
      <w:lvlJc w:val="left"/>
      <w:pPr>
        <w:ind w:left="5760" w:hanging="360"/>
      </w:pPr>
    </w:lvl>
    <w:lvl w:ilvl="8" w:tplc="7422A352"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020350"/>
    <w:rsid w:val="00020350"/>
    <w:rsid w:val="00067906"/>
    <w:rsid w:val="001F099A"/>
    <w:rsid w:val="00281E37"/>
    <w:rsid w:val="002E3B92"/>
    <w:rsid w:val="003F0464"/>
    <w:rsid w:val="00476EBE"/>
    <w:rsid w:val="00577B8C"/>
    <w:rsid w:val="0071172B"/>
    <w:rsid w:val="00A56EEC"/>
    <w:rsid w:val="00AD587C"/>
    <w:rsid w:val="00AF2131"/>
    <w:rsid w:val="00C4413F"/>
    <w:rsid w:val="00CE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ListNumber3"/>
    <w:qFormat/>
    <w:rsid w:val="002E3B92"/>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ListNumber3">
    <w:name w:val="List Number_3"/>
    <w:basedOn w:val="Normal"/>
    <w:semiHidden/>
    <w:rsid w:val="002E3B92"/>
    <w:pPr>
      <w:numPr>
        <w:numId w:val="1"/>
      </w:numPr>
      <w:jc w:val="both"/>
    </w:pPr>
    <w:rPr>
      <w:kern w:val="28"/>
      <w:sz w:val="22"/>
      <w:szCs w:val="20"/>
    </w:rPr>
  </w:style>
  <w:style w:type="paragraph" w:styleId="Footer">
    <w:name w:val="footer"/>
    <w:basedOn w:val="Footer"/>
    <w:next w:val="IASBFooter"/>
    <w:link w:val="FooterChar"/>
    <w:uiPriority w:val="99"/>
    <w:semiHidden/>
    <w:unhideWhenUsed/>
    <w:rsid w:val="002E3B92"/>
  </w:style>
  <w:style w:type="character" w:customStyle="1" w:styleId="FooterChar">
    <w:name w:val="Footer Char"/>
    <w:basedOn w:val="DefaultParagraphFont"/>
    <w:link w:val="Footer"/>
    <w:uiPriority w:val="99"/>
    <w:semiHidden/>
    <w:rsid w:val="002E3B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3B92"/>
    <w:rPr>
      <w:rFonts w:ascii="Tahoma" w:hAnsi="Tahoma" w:cs="Tahoma"/>
      <w:sz w:val="16"/>
      <w:szCs w:val="16"/>
    </w:rPr>
  </w:style>
  <w:style w:type="character" w:customStyle="1" w:styleId="BalloonTextChar">
    <w:name w:val="Balloon Text Char"/>
    <w:basedOn w:val="DefaultParagraphFont"/>
    <w:link w:val="BalloonText"/>
    <w:uiPriority w:val="99"/>
    <w:semiHidden/>
    <w:rsid w:val="002E3B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be.net/Documents/Temp1-ISBE-Sexual-Misconduct-Disclosure-Form-Applica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be.net/Documents/Temp2-Auth-Release-Sexual-Misconduct-Related-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F0F60-AE05-420D-9D21-906AFABD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2023-03-29T19:47:00Z</dcterms:created>
  <dcterms:modified xsi:type="dcterms:W3CDTF">2023-03-29T19:47:00Z</dcterms:modified>
</cp:coreProperties>
</file>