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3A" w:rsidRDefault="00205B3A" w:rsidP="00205B3A">
      <w:pPr>
        <w:pStyle w:val="Header"/>
        <w:pBdr>
          <w:bottom w:val="single" w:sz="4" w:space="1" w:color="auto"/>
        </w:pBdr>
        <w:tabs>
          <w:tab w:val="clear" w:pos="4320"/>
          <w:tab w:val="clear" w:pos="8640"/>
          <w:tab w:val="right" w:pos="9000"/>
        </w:tabs>
      </w:pPr>
      <w:r>
        <w:t>January 2022</w:t>
      </w:r>
      <w:r>
        <w:tab/>
        <w:t>6:100-AP</w:t>
      </w:r>
    </w:p>
    <w:p w:rsidR="00205B3A" w:rsidRDefault="00205B3A" w:rsidP="00205B3A">
      <w:pPr>
        <w:tabs>
          <w:tab w:val="right" w:pos="9000"/>
        </w:tabs>
      </w:pPr>
    </w:p>
    <w:p w:rsidR="00205B3A" w:rsidRDefault="00205B3A" w:rsidP="00205B3A">
      <w:pPr>
        <w:pStyle w:val="Heading1"/>
      </w:pPr>
      <w:r>
        <w:t>Instruction</w:t>
      </w:r>
    </w:p>
    <w:p w:rsidR="00205B3A" w:rsidRDefault="00205B3A" w:rsidP="00205B3A">
      <w:pPr>
        <w:pStyle w:val="Heading2"/>
      </w:pPr>
      <w:r>
        <w:t>Administrative Procedure - Dissection of Animals</w:t>
      </w:r>
    </w:p>
    <w:tbl>
      <w:tblPr>
        <w:tblW w:w="9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23"/>
        <w:gridCol w:w="4860"/>
        <w:gridCol w:w="2160"/>
      </w:tblGrid>
      <w:tr w:rsidR="00205B3A" w:rsidRPr="00C4573F" w:rsidTr="003B4340">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Pr="00C4573F" w:rsidRDefault="00205B3A" w:rsidP="003B4340">
            <w:pPr>
              <w:pStyle w:val="BodyText"/>
              <w:jc w:val="center"/>
              <w:rPr>
                <w:b/>
              </w:rPr>
            </w:pPr>
            <w:r w:rsidRPr="00C4573F">
              <w:rPr>
                <w:b/>
              </w:rPr>
              <w:t>Actor</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Pr="00C4573F" w:rsidRDefault="00205B3A" w:rsidP="003B4340">
            <w:pPr>
              <w:pStyle w:val="BodyText"/>
              <w:jc w:val="center"/>
              <w:rPr>
                <w:b/>
              </w:rPr>
            </w:pPr>
            <w:r w:rsidRPr="00C4573F">
              <w:rPr>
                <w:b/>
              </w:rPr>
              <w:t>Action</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Pr="00C4573F" w:rsidRDefault="00205B3A" w:rsidP="003B4340">
            <w:pPr>
              <w:pStyle w:val="BodyText"/>
              <w:jc w:val="center"/>
              <w:rPr>
                <w:b/>
              </w:rPr>
            </w:pPr>
            <w:r w:rsidRPr="00C4573F">
              <w:rPr>
                <w:b/>
              </w:rPr>
              <w:t>Time</w:t>
            </w:r>
          </w:p>
        </w:tc>
      </w:tr>
      <w:tr w:rsidR="00205B3A" w:rsidTr="003B4340">
        <w:tc>
          <w:tcPr>
            <w:tcW w:w="2023" w:type="dxa"/>
            <w:tcBorders>
              <w:top w:val="single" w:sz="6" w:space="0" w:color="auto"/>
              <w:left w:val="single" w:sz="6" w:space="0" w:color="auto"/>
              <w:bottom w:val="nil"/>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Curriculum Director</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Identifies: (1) which, if any, courses contain a dissection project, and (2) the available alternative projects. Reports this information to the Building Principal.</w:t>
            </w:r>
          </w:p>
          <w:p w:rsidR="00205B3A" w:rsidRDefault="00205B3A" w:rsidP="003B4340">
            <w:pPr>
              <w:pStyle w:val="BodyTextIndent"/>
              <w:spacing w:before="0" w:after="0"/>
              <w:ind w:left="137" w:right="137"/>
              <w:jc w:val="left"/>
            </w:pPr>
            <w:r>
              <w:t>“Dissection” includes cutting, killing, preserving, or mounting of living or dead animals or animal parts for scientific study; it does not include the cutting, preserving, or mounting of: (1) meat or other animal products that have been processed for use as food or in the preparation of food, or (2) wool, silk, glue, or other commercial or artistic products derived from animals. 105 ILCS 112/10.</w:t>
            </w:r>
          </w:p>
          <w:p w:rsidR="00205B3A" w:rsidRPr="005B2A63" w:rsidRDefault="00205B3A" w:rsidP="003B4340">
            <w:pPr>
              <w:pStyle w:val="BodyTextDoubleIndent"/>
              <w:spacing w:before="0" w:after="0"/>
              <w:ind w:left="137" w:right="137"/>
              <w:jc w:val="left"/>
            </w:pPr>
            <w:r>
              <w:t>Students who object to performing, participating in, or observing a dissection must be excused from classroom attendance without penalty. 105 ILCS 112/25.</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Throughout the curriculum development process</w:t>
            </w:r>
          </w:p>
        </w:tc>
      </w:tr>
      <w:tr w:rsidR="00205B3A" w:rsidTr="003B4340">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Building Principal</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Ensures that course descriptions indicate which courses contain a dissection unit. For such courses, indicates that objecting students have the right to refrain, and the availability, if any, of an alternative.</w:t>
            </w:r>
          </w:p>
          <w:p w:rsidR="00205B3A" w:rsidRDefault="00205B3A" w:rsidP="003B4340">
            <w:pPr>
              <w:pStyle w:val="BodyTextDoubleIndent"/>
              <w:spacing w:before="0" w:after="0"/>
              <w:ind w:left="144" w:right="144"/>
              <w:jc w:val="left"/>
            </w:pPr>
            <w:r>
              <w:t>ISBE guidelines for notifying students, parents, administrators, and teachers are available at:</w:t>
            </w:r>
          </w:p>
          <w:p w:rsidR="00205B3A" w:rsidRDefault="00205B3A" w:rsidP="003B4340">
            <w:pPr>
              <w:pStyle w:val="BodyTextDoubleIndent"/>
              <w:spacing w:before="0" w:after="0"/>
              <w:ind w:left="144" w:right="144"/>
              <w:jc w:val="left"/>
            </w:pPr>
            <w:hyperlink r:id="rId7" w:anchor="search=dissection" w:history="1">
              <w:r w:rsidRPr="00493444">
                <w:rPr>
                  <w:rStyle w:val="Hyperlink"/>
                </w:rPr>
                <w:t>www.isbe.net/Documents/alternatives_dissection_2000.pdf#search=dissection</w:t>
              </w:r>
            </w:hyperlink>
            <w:r>
              <w:t>.</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Annually when course offerings and descriptions are distributed to students</w:t>
            </w:r>
          </w:p>
        </w:tc>
      </w:tr>
      <w:tr w:rsidR="00205B3A" w:rsidTr="003B4340">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School Counselors and Teachers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Reminds objecting students to check the expectations and requirements of the post-secondary schools that they may be interested in attending. 105 ILCS 112/20(b).</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Whenever a student may choose between dissection and an alternative program</w:t>
            </w:r>
          </w:p>
        </w:tc>
      </w:tr>
      <w:tr w:rsidR="00205B3A" w:rsidTr="003B4340">
        <w:trPr>
          <w:trHeight w:val="795"/>
        </w:trPr>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Students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If dissection is objectionable, asks the teacher to be excused from the dissection project and requests an alternative project.</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Within the first 10 days of the course, if possible</w:t>
            </w:r>
          </w:p>
        </w:tc>
      </w:tr>
      <w:tr w:rsidR="00205B3A" w:rsidTr="003B4340">
        <w:trPr>
          <w:trHeight w:val="525"/>
        </w:trPr>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All Staff Members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Do not penalize or discriminate against a student in any way for refusing to perform, participate in, or observe dissection. 105 ILCS 112/25.</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205B3A" w:rsidRDefault="00205B3A" w:rsidP="003B4340">
            <w:pPr>
              <w:pStyle w:val="BodyText"/>
              <w:spacing w:before="0" w:after="0"/>
              <w:jc w:val="left"/>
            </w:pPr>
            <w:r>
              <w:t>Continuously</w:t>
            </w:r>
          </w:p>
        </w:tc>
      </w:tr>
    </w:tbl>
    <w:p w:rsidR="00205B3A" w:rsidRPr="00EB3FA2" w:rsidRDefault="00205B3A" w:rsidP="00205B3A">
      <w:pPr>
        <w:pStyle w:val="CROSSREF"/>
        <w:ind w:left="0" w:firstLine="0"/>
        <w:rPr>
          <w:sz w:val="2"/>
          <w:szCs w:val="2"/>
        </w:rPr>
      </w:pPr>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AF" w:rsidRDefault="00BE43AF" w:rsidP="003F57A9">
      <w:r>
        <w:separator/>
      </w:r>
    </w:p>
  </w:endnote>
  <w:endnote w:type="continuationSeparator" w:id="0">
    <w:p w:rsidR="00BE43AF" w:rsidRDefault="00BE43AF"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3A" w:rsidRDefault="00205B3A" w:rsidP="00205B3A">
    <w:pPr>
      <w:pStyle w:val="Footer"/>
      <w:tabs>
        <w:tab w:val="right" w:pos="9000"/>
      </w:tabs>
    </w:pPr>
    <w:r>
      <w:t>6:100-AP</w:t>
    </w:r>
    <w:r>
      <w:tab/>
    </w:r>
    <w:r>
      <w:tab/>
      <w:t xml:space="preserve">Page </w:t>
    </w:r>
    <w:fldSimple w:instr=" PAGE   \* MERGEFORMAT ">
      <w:r>
        <w:rPr>
          <w:noProof/>
        </w:rPr>
        <w:t>1</w:t>
      </w:r>
    </w:fldSimple>
    <w:r>
      <w:t xml:space="preserve"> of </w:t>
    </w:r>
    <w:fldSimple w:instr=" SECTIONPAGES   \* MERGEFORMAT ">
      <w:r>
        <w:rPr>
          <w:noProof/>
        </w:rPr>
        <w:t>1</w:t>
      </w:r>
    </w:fldSimple>
  </w:p>
  <w:p w:rsidR="003F57A9" w:rsidRDefault="003F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AF" w:rsidRDefault="00BE43AF" w:rsidP="003F57A9">
      <w:r>
        <w:separator/>
      </w:r>
    </w:p>
  </w:footnote>
  <w:footnote w:type="continuationSeparator" w:id="0">
    <w:p w:rsidR="00BE43AF" w:rsidRDefault="00BE43AF"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735EF"/>
    <w:rsid w:val="00205B3A"/>
    <w:rsid w:val="00345A1A"/>
    <w:rsid w:val="003F57A9"/>
    <w:rsid w:val="0049685C"/>
    <w:rsid w:val="00501840"/>
    <w:rsid w:val="005154B2"/>
    <w:rsid w:val="005373D5"/>
    <w:rsid w:val="00552B43"/>
    <w:rsid w:val="005F479F"/>
    <w:rsid w:val="007C3BA2"/>
    <w:rsid w:val="00857FA1"/>
    <w:rsid w:val="008A2953"/>
    <w:rsid w:val="009069C5"/>
    <w:rsid w:val="00912628"/>
    <w:rsid w:val="00980082"/>
    <w:rsid w:val="009F4E93"/>
    <w:rsid w:val="00A33BDE"/>
    <w:rsid w:val="00A42831"/>
    <w:rsid w:val="00A80B15"/>
    <w:rsid w:val="00B403CE"/>
    <w:rsid w:val="00B45CC0"/>
    <w:rsid w:val="00BA1994"/>
    <w:rsid w:val="00BE43AF"/>
    <w:rsid w:val="00BF5568"/>
    <w:rsid w:val="00C23929"/>
    <w:rsid w:val="00C304DB"/>
    <w:rsid w:val="00CA0A6A"/>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3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05B3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205B3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B3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05B3A"/>
    <w:rPr>
      <w:rFonts w:ascii="Arial" w:eastAsia="Times New Roman" w:hAnsi="Arial" w:cs="Times New Roman"/>
      <w:b/>
      <w:kern w:val="28"/>
      <w:szCs w:val="20"/>
      <w:u w:val="single"/>
    </w:rPr>
  </w:style>
  <w:style w:type="paragraph" w:styleId="BodyText">
    <w:name w:val="Body Text"/>
    <w:basedOn w:val="Normal"/>
    <w:link w:val="BodyTextChar"/>
    <w:rsid w:val="00205B3A"/>
    <w:pPr>
      <w:spacing w:before="60" w:after="60"/>
      <w:jc w:val="both"/>
    </w:pPr>
  </w:style>
  <w:style w:type="character" w:customStyle="1" w:styleId="BodyTextChar">
    <w:name w:val="Body Text Char"/>
    <w:basedOn w:val="DefaultParagraphFont"/>
    <w:link w:val="BodyText"/>
    <w:rsid w:val="00205B3A"/>
    <w:rPr>
      <w:rFonts w:ascii="Times New Roman" w:eastAsia="Times New Roman" w:hAnsi="Times New Roman" w:cs="Times New Roman"/>
      <w:kern w:val="28"/>
      <w:szCs w:val="20"/>
    </w:rPr>
  </w:style>
  <w:style w:type="paragraph" w:customStyle="1" w:styleId="CROSSREF">
    <w:name w:val="CROSS REF"/>
    <w:basedOn w:val="Normal"/>
    <w:link w:val="CROSSREFChar"/>
    <w:rsid w:val="00205B3A"/>
    <w:pPr>
      <w:keepNext/>
      <w:keepLines/>
      <w:tabs>
        <w:tab w:val="left" w:pos="1800"/>
      </w:tabs>
      <w:spacing w:before="240"/>
      <w:ind w:left="1800" w:hanging="1800"/>
    </w:pPr>
  </w:style>
  <w:style w:type="paragraph" w:styleId="BodyTextIndent">
    <w:name w:val="Body Text Indent"/>
    <w:aliases w:val="Body Text double Indent"/>
    <w:basedOn w:val="Normal"/>
    <w:link w:val="BodyTextIndentChar"/>
    <w:rsid w:val="00205B3A"/>
    <w:pPr>
      <w:spacing w:before="60" w:after="60"/>
      <w:ind w:left="360"/>
      <w:jc w:val="both"/>
    </w:pPr>
  </w:style>
  <w:style w:type="character" w:customStyle="1" w:styleId="BodyTextIndentChar">
    <w:name w:val="Body Text Indent Char"/>
    <w:aliases w:val="Body Text double Indent Char"/>
    <w:basedOn w:val="DefaultParagraphFont"/>
    <w:link w:val="BodyTextIndent"/>
    <w:rsid w:val="00205B3A"/>
    <w:rPr>
      <w:rFonts w:ascii="Times New Roman" w:eastAsia="Times New Roman" w:hAnsi="Times New Roman" w:cs="Times New Roman"/>
      <w:kern w:val="28"/>
      <w:szCs w:val="20"/>
    </w:rPr>
  </w:style>
  <w:style w:type="paragraph" w:styleId="Header">
    <w:name w:val="header"/>
    <w:basedOn w:val="Normal"/>
    <w:link w:val="HeaderChar"/>
    <w:rsid w:val="00205B3A"/>
    <w:pPr>
      <w:tabs>
        <w:tab w:val="center" w:pos="4320"/>
        <w:tab w:val="right" w:pos="8640"/>
      </w:tabs>
    </w:pPr>
  </w:style>
  <w:style w:type="character" w:customStyle="1" w:styleId="HeaderChar">
    <w:name w:val="Header Char"/>
    <w:basedOn w:val="DefaultParagraphFont"/>
    <w:link w:val="Header"/>
    <w:rsid w:val="00205B3A"/>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205B3A"/>
  </w:style>
  <w:style w:type="character" w:styleId="Hyperlink">
    <w:name w:val="Hyperlink"/>
    <w:rsid w:val="00205B3A"/>
    <w:rPr>
      <w:color w:val="0000FF"/>
      <w:u w:val="single"/>
    </w:rPr>
  </w:style>
  <w:style w:type="character" w:customStyle="1" w:styleId="BodyTextDoubleIndentChar">
    <w:name w:val="Body Text Double Indent Char"/>
    <w:link w:val="BodyTextDoubleIndent"/>
    <w:rsid w:val="00205B3A"/>
    <w:rPr>
      <w:rFonts w:ascii="Times New Roman" w:eastAsia="Times New Roman" w:hAnsi="Times New Roman" w:cs="Times New Roman"/>
      <w:kern w:val="28"/>
      <w:szCs w:val="20"/>
    </w:rPr>
  </w:style>
  <w:style w:type="character" w:customStyle="1" w:styleId="CROSSREFChar">
    <w:name w:val="CROSS REF Char"/>
    <w:link w:val="CROSSREF"/>
    <w:rsid w:val="00205B3A"/>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205B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rsid w:val="00205B3A"/>
    <w:pPr>
      <w:tabs>
        <w:tab w:val="center" w:pos="4680"/>
        <w:tab w:val="right" w:pos="9360"/>
      </w:tabs>
    </w:pPr>
  </w:style>
  <w:style w:type="character" w:customStyle="1" w:styleId="FooterChar">
    <w:name w:val="Footer Char"/>
    <w:basedOn w:val="DefaultParagraphFont"/>
    <w:link w:val="Footer"/>
    <w:rsid w:val="00205B3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be.net/Documents/alternatives_dissection_200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AAC4C-A33A-4418-BA2A-B02B3EB9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2022-05-24T19:24:00Z</dcterms:created>
  <dcterms:modified xsi:type="dcterms:W3CDTF">2022-05-24T19:24:00Z</dcterms:modified>
</cp:coreProperties>
</file>