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DC2" w:rsidRPr="00F07F1B" w:rsidRDefault="00ED2DC2" w:rsidP="00ED2DC2">
      <w:pPr>
        <w:pBdr>
          <w:bottom w:val="single" w:sz="4" w:space="1" w:color="auto"/>
        </w:pBdr>
        <w:tabs>
          <w:tab w:val="right" w:pos="9000"/>
        </w:tabs>
        <w:jc w:val="both"/>
        <w:rPr>
          <w:rFonts w:eastAsiaTheme="minorHAnsi"/>
          <w:sz w:val="22"/>
          <w:szCs w:val="22"/>
        </w:rPr>
      </w:pPr>
      <w:r>
        <w:rPr>
          <w:rFonts w:eastAsiaTheme="minorHAnsi"/>
          <w:sz w:val="22"/>
          <w:szCs w:val="22"/>
        </w:rPr>
        <w:t>March 2023</w:t>
      </w:r>
      <w:r w:rsidRPr="00F07F1B">
        <w:rPr>
          <w:rFonts w:eastAsiaTheme="minorHAnsi"/>
          <w:sz w:val="22"/>
          <w:szCs w:val="22"/>
        </w:rPr>
        <w:tab/>
        <w:t>5:170</w:t>
      </w:r>
    </w:p>
    <w:p w:rsidR="00ED2DC2" w:rsidRPr="00F07F1B" w:rsidRDefault="00ED2DC2" w:rsidP="00ED2DC2">
      <w:pPr>
        <w:keepNext/>
        <w:spacing w:before="120" w:after="120"/>
        <w:jc w:val="center"/>
        <w:outlineLvl w:val="0"/>
        <w:rPr>
          <w:rFonts w:ascii="Arial" w:hAnsi="Arial"/>
          <w:b/>
          <w:kern w:val="28"/>
          <w:sz w:val="28"/>
          <w:szCs w:val="20"/>
          <w:u w:val="single"/>
        </w:rPr>
      </w:pPr>
      <w:r w:rsidRPr="00F07F1B">
        <w:rPr>
          <w:rFonts w:ascii="Arial" w:hAnsi="Arial"/>
          <w:b/>
          <w:kern w:val="28"/>
          <w:sz w:val="28"/>
          <w:szCs w:val="20"/>
          <w:u w:val="single"/>
        </w:rPr>
        <w:t>General Personnel</w:t>
      </w:r>
    </w:p>
    <w:p w:rsidR="00ED2DC2" w:rsidRPr="00F07F1B" w:rsidRDefault="00ED2DC2" w:rsidP="00ED2DC2">
      <w:pPr>
        <w:keepNext/>
        <w:spacing w:before="120" w:after="120"/>
        <w:jc w:val="both"/>
        <w:outlineLvl w:val="1"/>
        <w:rPr>
          <w:rFonts w:ascii="Arial" w:hAnsi="Arial"/>
          <w:b/>
          <w:kern w:val="28"/>
          <w:sz w:val="22"/>
          <w:szCs w:val="20"/>
          <w:u w:val="single"/>
        </w:rPr>
      </w:pPr>
      <w:r w:rsidRPr="00F07F1B">
        <w:rPr>
          <w:rFonts w:ascii="Arial" w:hAnsi="Arial"/>
          <w:b/>
          <w:kern w:val="28"/>
          <w:sz w:val="22"/>
          <w:szCs w:val="20"/>
          <w:u w:val="single"/>
        </w:rPr>
        <w:t>Copyright</w:t>
      </w:r>
      <w:r w:rsidRPr="00F07F1B">
        <w:rPr>
          <w:rFonts w:ascii="Arial" w:hAnsi="Arial"/>
          <w:b/>
          <w:bCs/>
          <w:kern w:val="28"/>
          <w:sz w:val="22"/>
          <w:szCs w:val="20"/>
        </w:rPr>
        <w:t xml:space="preserve"> </w:t>
      </w:r>
    </w:p>
    <w:p w:rsidR="00ED2DC2" w:rsidRPr="00F07F1B" w:rsidRDefault="00ED2DC2" w:rsidP="00ED2DC2">
      <w:pPr>
        <w:keepNext/>
        <w:spacing w:before="120"/>
        <w:jc w:val="both"/>
        <w:rPr>
          <w:kern w:val="28"/>
          <w:sz w:val="22"/>
          <w:szCs w:val="20"/>
          <w:u w:val="single"/>
        </w:rPr>
      </w:pPr>
      <w:r w:rsidRPr="00F07F1B">
        <w:rPr>
          <w:kern w:val="28"/>
          <w:sz w:val="22"/>
          <w:szCs w:val="20"/>
          <w:u w:val="single"/>
        </w:rPr>
        <w:t>Works Made for Hire</w:t>
      </w:r>
      <w:r w:rsidRPr="00F07F1B">
        <w:rPr>
          <w:bCs/>
          <w:kern w:val="28"/>
          <w:sz w:val="22"/>
          <w:szCs w:val="20"/>
        </w:rPr>
        <w:t xml:space="preserve"> </w:t>
      </w:r>
    </w:p>
    <w:p w:rsidR="00ED2DC2" w:rsidRPr="00F07F1B" w:rsidRDefault="00ED2DC2" w:rsidP="00ED2DC2">
      <w:pPr>
        <w:spacing w:before="60" w:after="60"/>
        <w:jc w:val="both"/>
        <w:rPr>
          <w:kern w:val="28"/>
          <w:sz w:val="22"/>
          <w:szCs w:val="20"/>
        </w:rPr>
      </w:pPr>
      <w:r w:rsidRPr="00F07F1B">
        <w:rPr>
          <w:kern w:val="28"/>
          <w:sz w:val="22"/>
          <w:szCs w:val="20"/>
        </w:rPr>
        <w:t>The Superintendent shall manage the development of instructional materials and computer programs by employees during the scope of their employment in accordance with State and federal laws and School Board policies. Whenever an employee is assigned to develop instructional materials and/or computer programs, or otherwise performs such work within the scope of his or her employment, it is assured the District shall be the owner of the copyright.</w:t>
      </w:r>
    </w:p>
    <w:p w:rsidR="00ED2DC2" w:rsidRPr="00F07F1B" w:rsidRDefault="00ED2DC2" w:rsidP="00ED2DC2">
      <w:pPr>
        <w:keepNext/>
        <w:spacing w:before="120"/>
        <w:jc w:val="both"/>
        <w:rPr>
          <w:kern w:val="28"/>
          <w:sz w:val="22"/>
          <w:szCs w:val="20"/>
          <w:u w:val="single"/>
        </w:rPr>
      </w:pPr>
      <w:r w:rsidRPr="00F07F1B">
        <w:rPr>
          <w:kern w:val="28"/>
          <w:sz w:val="22"/>
          <w:szCs w:val="20"/>
          <w:u w:val="single"/>
        </w:rPr>
        <w:t>Copyright Compliance</w:t>
      </w:r>
    </w:p>
    <w:p w:rsidR="00ED2DC2" w:rsidRPr="00F07F1B" w:rsidRDefault="00ED2DC2" w:rsidP="00ED2DC2">
      <w:pPr>
        <w:spacing w:before="60" w:after="60"/>
        <w:jc w:val="both"/>
        <w:rPr>
          <w:kern w:val="28"/>
          <w:sz w:val="22"/>
          <w:szCs w:val="20"/>
        </w:rPr>
      </w:pPr>
      <w:r w:rsidRPr="00F07F1B">
        <w:rPr>
          <w:kern w:val="28"/>
          <w:sz w:val="22"/>
          <w:szCs w:val="20"/>
        </w:rPr>
        <w:t>While staff members may use appropriate supplementary materials, it is each staff member’s responsibility to abide by the District’s copyright compliance procedures and to obey the copyright laws. The District is not responsible for any violations of the copyright laws by its staff or students. A staff member should contact the Superintendent or designee whenever the staff member is uncertain about whether using or copying material complies with the District’s procedures or is permissible under the law, or wants assistance on when and how to obtain proper authorization. No staff member shall, without first obtaining the permission of the Superintendent or designee, install or download any program on a District-owned computer. At no time shall it be necessary for a District staff member to violate copyright laws in order to properly perform his or her duties.</w:t>
      </w:r>
    </w:p>
    <w:p w:rsidR="00ED2DC2" w:rsidRPr="00F07F1B" w:rsidRDefault="00ED2DC2" w:rsidP="00ED2DC2">
      <w:pPr>
        <w:keepNext/>
        <w:spacing w:before="120"/>
        <w:jc w:val="both"/>
        <w:rPr>
          <w:kern w:val="28"/>
          <w:sz w:val="22"/>
          <w:szCs w:val="20"/>
          <w:u w:val="single"/>
        </w:rPr>
      </w:pPr>
      <w:r w:rsidRPr="00F07F1B">
        <w:rPr>
          <w:kern w:val="28"/>
          <w:sz w:val="22"/>
          <w:szCs w:val="20"/>
          <w:u w:val="single"/>
        </w:rPr>
        <w:t>Copyright Infringement; Designation of District Digital Millennium Copyright Act (DMCA) Agent</w:t>
      </w:r>
      <w:r w:rsidRPr="00F07F1B">
        <w:rPr>
          <w:bCs/>
          <w:kern w:val="28"/>
          <w:sz w:val="22"/>
          <w:szCs w:val="20"/>
        </w:rPr>
        <w:t xml:space="preserve"> </w:t>
      </w:r>
    </w:p>
    <w:p w:rsidR="00ED2DC2" w:rsidRPr="00F07F1B" w:rsidRDefault="00ED2DC2" w:rsidP="00ED2DC2">
      <w:pPr>
        <w:spacing w:before="60" w:after="60"/>
        <w:jc w:val="both"/>
        <w:rPr>
          <w:kern w:val="28"/>
          <w:sz w:val="22"/>
          <w:szCs w:val="20"/>
        </w:rPr>
      </w:pPr>
      <w:r w:rsidRPr="00F07F1B">
        <w:rPr>
          <w:kern w:val="28"/>
          <w:sz w:val="22"/>
          <w:szCs w:val="20"/>
        </w:rPr>
        <w:t>The employee listed below receives complaints about copyright infringement within the use of the District’s online services. The Superintendent or designee will register this information with the federal Copyright Office as required by federal law.</w:t>
      </w:r>
    </w:p>
    <w:p w:rsidR="00ED2DC2" w:rsidRPr="00F07F1B" w:rsidRDefault="00ED2DC2" w:rsidP="00ED2DC2">
      <w:pPr>
        <w:jc w:val="both"/>
        <w:rPr>
          <w:b/>
          <w:kern w:val="28"/>
          <w:sz w:val="22"/>
          <w:szCs w:val="20"/>
        </w:rPr>
      </w:pPr>
      <w:r w:rsidRPr="00F07F1B">
        <w:rPr>
          <w:b/>
          <w:kern w:val="28"/>
          <w:sz w:val="22"/>
          <w:szCs w:val="20"/>
        </w:rPr>
        <w:t>District DMCA Agent:</w:t>
      </w:r>
    </w:p>
    <w:tbl>
      <w:tblPr>
        <w:tblW w:w="0" w:type="auto"/>
        <w:tblLook w:val="00A0"/>
      </w:tblPr>
      <w:tblGrid>
        <w:gridCol w:w="4320"/>
        <w:gridCol w:w="236"/>
      </w:tblGrid>
      <w:tr w:rsidR="00ED2DC2" w:rsidTr="00F85B91">
        <w:tc>
          <w:tcPr>
            <w:tcW w:w="4320" w:type="dxa"/>
            <w:tcBorders>
              <w:top w:val="nil"/>
              <w:left w:val="nil"/>
              <w:bottom w:val="single" w:sz="4" w:space="0" w:color="auto"/>
              <w:right w:val="nil"/>
            </w:tcBorders>
            <w:tcMar>
              <w:top w:w="0" w:type="dxa"/>
              <w:left w:w="0" w:type="dxa"/>
              <w:bottom w:w="0" w:type="dxa"/>
              <w:right w:w="0" w:type="dxa"/>
            </w:tcMar>
          </w:tcPr>
          <w:p w:rsidR="00ED2DC2" w:rsidRPr="00F07F1B" w:rsidRDefault="00ED2DC2" w:rsidP="00F85B91">
            <w:pPr>
              <w:jc w:val="both"/>
              <w:rPr>
                <w:kern w:val="28"/>
                <w:sz w:val="22"/>
                <w:szCs w:val="20"/>
              </w:rPr>
            </w:pPr>
          </w:p>
        </w:tc>
        <w:tc>
          <w:tcPr>
            <w:tcW w:w="236" w:type="dxa"/>
            <w:tcMar>
              <w:top w:w="0" w:type="dxa"/>
              <w:left w:w="0" w:type="dxa"/>
              <w:bottom w:w="0" w:type="dxa"/>
              <w:right w:w="0" w:type="dxa"/>
            </w:tcMar>
          </w:tcPr>
          <w:p w:rsidR="00ED2DC2" w:rsidRPr="00F07F1B" w:rsidRDefault="00ED2DC2" w:rsidP="00F85B91">
            <w:pPr>
              <w:jc w:val="both"/>
              <w:rPr>
                <w:kern w:val="28"/>
                <w:sz w:val="22"/>
                <w:szCs w:val="20"/>
              </w:rPr>
            </w:pPr>
          </w:p>
        </w:tc>
      </w:tr>
      <w:tr w:rsidR="00ED2DC2" w:rsidTr="00F85B91">
        <w:tc>
          <w:tcPr>
            <w:tcW w:w="4320" w:type="dxa"/>
            <w:tcBorders>
              <w:top w:val="single" w:sz="4" w:space="0" w:color="auto"/>
              <w:left w:val="nil"/>
              <w:bottom w:val="single" w:sz="4" w:space="0" w:color="auto"/>
              <w:right w:val="nil"/>
            </w:tcBorders>
            <w:tcMar>
              <w:top w:w="0" w:type="dxa"/>
              <w:left w:w="0" w:type="dxa"/>
              <w:bottom w:w="0" w:type="dxa"/>
              <w:right w:w="0" w:type="dxa"/>
            </w:tcMar>
          </w:tcPr>
          <w:p w:rsidR="00ED2DC2" w:rsidRPr="00F07F1B" w:rsidRDefault="00ED2DC2" w:rsidP="00F85B91">
            <w:pPr>
              <w:jc w:val="both"/>
              <w:rPr>
                <w:kern w:val="28"/>
                <w:sz w:val="22"/>
                <w:szCs w:val="20"/>
              </w:rPr>
            </w:pPr>
            <w:r w:rsidRPr="00F07F1B">
              <w:rPr>
                <w:kern w:val="28"/>
                <w:sz w:val="22"/>
                <w:szCs w:val="20"/>
              </w:rPr>
              <w:t>Name</w:t>
            </w:r>
          </w:p>
          <w:p w:rsidR="00ED2DC2" w:rsidRPr="00F07F1B" w:rsidRDefault="00ED2DC2" w:rsidP="00F85B91">
            <w:pPr>
              <w:jc w:val="both"/>
              <w:rPr>
                <w:kern w:val="28"/>
                <w:sz w:val="22"/>
                <w:szCs w:val="20"/>
                <w:highlight w:val="yellow"/>
              </w:rPr>
            </w:pPr>
          </w:p>
        </w:tc>
        <w:tc>
          <w:tcPr>
            <w:tcW w:w="236" w:type="dxa"/>
            <w:tcMar>
              <w:top w:w="0" w:type="dxa"/>
              <w:left w:w="0" w:type="dxa"/>
              <w:bottom w:w="0" w:type="dxa"/>
              <w:right w:w="0" w:type="dxa"/>
            </w:tcMar>
          </w:tcPr>
          <w:p w:rsidR="00ED2DC2" w:rsidRPr="00F07F1B" w:rsidRDefault="00ED2DC2" w:rsidP="00F85B91">
            <w:pPr>
              <w:jc w:val="both"/>
              <w:rPr>
                <w:kern w:val="28"/>
                <w:sz w:val="22"/>
                <w:szCs w:val="20"/>
              </w:rPr>
            </w:pPr>
          </w:p>
        </w:tc>
      </w:tr>
      <w:tr w:rsidR="00ED2DC2" w:rsidTr="00F85B91">
        <w:tc>
          <w:tcPr>
            <w:tcW w:w="4320" w:type="dxa"/>
            <w:tcBorders>
              <w:top w:val="single" w:sz="4" w:space="0" w:color="auto"/>
              <w:left w:val="nil"/>
              <w:bottom w:val="single" w:sz="4" w:space="0" w:color="auto"/>
              <w:right w:val="nil"/>
            </w:tcBorders>
            <w:tcMar>
              <w:top w:w="0" w:type="dxa"/>
              <w:left w:w="0" w:type="dxa"/>
              <w:bottom w:w="0" w:type="dxa"/>
              <w:right w:w="0" w:type="dxa"/>
            </w:tcMar>
          </w:tcPr>
          <w:p w:rsidR="00ED2DC2" w:rsidRPr="00F07F1B" w:rsidRDefault="00ED2DC2" w:rsidP="00F85B91">
            <w:pPr>
              <w:jc w:val="both"/>
              <w:rPr>
                <w:kern w:val="28"/>
                <w:sz w:val="22"/>
                <w:szCs w:val="20"/>
              </w:rPr>
            </w:pPr>
            <w:r w:rsidRPr="00F07F1B">
              <w:rPr>
                <w:kern w:val="28"/>
                <w:sz w:val="22"/>
                <w:szCs w:val="20"/>
              </w:rPr>
              <w:t>Address</w:t>
            </w:r>
          </w:p>
          <w:p w:rsidR="00ED2DC2" w:rsidRPr="00F07F1B" w:rsidRDefault="00ED2DC2" w:rsidP="00F85B91">
            <w:pPr>
              <w:jc w:val="both"/>
              <w:rPr>
                <w:kern w:val="28"/>
                <w:sz w:val="22"/>
                <w:szCs w:val="20"/>
                <w:highlight w:val="yellow"/>
              </w:rPr>
            </w:pPr>
          </w:p>
        </w:tc>
        <w:tc>
          <w:tcPr>
            <w:tcW w:w="236" w:type="dxa"/>
            <w:tcMar>
              <w:top w:w="0" w:type="dxa"/>
              <w:left w:w="0" w:type="dxa"/>
              <w:bottom w:w="0" w:type="dxa"/>
              <w:right w:w="0" w:type="dxa"/>
            </w:tcMar>
          </w:tcPr>
          <w:p w:rsidR="00ED2DC2" w:rsidRPr="00F07F1B" w:rsidRDefault="00ED2DC2" w:rsidP="00F85B91">
            <w:pPr>
              <w:jc w:val="both"/>
              <w:rPr>
                <w:kern w:val="28"/>
                <w:sz w:val="22"/>
                <w:szCs w:val="20"/>
              </w:rPr>
            </w:pPr>
          </w:p>
        </w:tc>
      </w:tr>
      <w:tr w:rsidR="00ED2DC2" w:rsidTr="00F85B91">
        <w:trPr>
          <w:trHeight w:val="52"/>
        </w:trPr>
        <w:tc>
          <w:tcPr>
            <w:tcW w:w="4320" w:type="dxa"/>
            <w:tcBorders>
              <w:top w:val="single" w:sz="4" w:space="0" w:color="auto"/>
              <w:left w:val="nil"/>
              <w:bottom w:val="single" w:sz="4" w:space="0" w:color="auto"/>
              <w:right w:val="nil"/>
            </w:tcBorders>
            <w:tcMar>
              <w:top w:w="0" w:type="dxa"/>
              <w:left w:w="0" w:type="dxa"/>
              <w:bottom w:w="0" w:type="dxa"/>
              <w:right w:w="0" w:type="dxa"/>
            </w:tcMar>
            <w:hideMark/>
          </w:tcPr>
          <w:p w:rsidR="00ED2DC2" w:rsidRPr="00F07F1B" w:rsidRDefault="00ED2DC2" w:rsidP="00F85B91">
            <w:pPr>
              <w:jc w:val="both"/>
              <w:rPr>
                <w:kern w:val="28"/>
                <w:sz w:val="22"/>
                <w:szCs w:val="20"/>
              </w:rPr>
            </w:pPr>
            <w:r w:rsidRPr="00F07F1B">
              <w:rPr>
                <w:kern w:val="28"/>
                <w:sz w:val="22"/>
                <w:szCs w:val="20"/>
              </w:rPr>
              <w:t>Email</w:t>
            </w:r>
          </w:p>
          <w:p w:rsidR="00ED2DC2" w:rsidRPr="00F07F1B" w:rsidRDefault="00ED2DC2" w:rsidP="00F85B91">
            <w:pPr>
              <w:jc w:val="both"/>
              <w:rPr>
                <w:kern w:val="28"/>
                <w:sz w:val="22"/>
                <w:szCs w:val="20"/>
              </w:rPr>
            </w:pPr>
          </w:p>
          <w:p w:rsidR="00ED2DC2" w:rsidRPr="00F07F1B" w:rsidRDefault="00ED2DC2" w:rsidP="00F85B91">
            <w:pPr>
              <w:jc w:val="both"/>
              <w:rPr>
                <w:kern w:val="28"/>
                <w:sz w:val="22"/>
                <w:szCs w:val="20"/>
              </w:rPr>
            </w:pPr>
          </w:p>
        </w:tc>
        <w:tc>
          <w:tcPr>
            <w:tcW w:w="236" w:type="dxa"/>
            <w:tcMar>
              <w:top w:w="0" w:type="dxa"/>
              <w:left w:w="0" w:type="dxa"/>
              <w:bottom w:w="0" w:type="dxa"/>
              <w:right w:w="0" w:type="dxa"/>
            </w:tcMar>
          </w:tcPr>
          <w:p w:rsidR="00ED2DC2" w:rsidRPr="00F07F1B" w:rsidRDefault="00ED2DC2" w:rsidP="00F85B91">
            <w:pPr>
              <w:jc w:val="both"/>
              <w:rPr>
                <w:kern w:val="28"/>
                <w:sz w:val="22"/>
                <w:szCs w:val="20"/>
              </w:rPr>
            </w:pPr>
          </w:p>
        </w:tc>
      </w:tr>
      <w:tr w:rsidR="00ED2DC2" w:rsidTr="00F85B91">
        <w:tc>
          <w:tcPr>
            <w:tcW w:w="4320" w:type="dxa"/>
            <w:tcBorders>
              <w:top w:val="single" w:sz="4" w:space="0" w:color="auto"/>
              <w:left w:val="nil"/>
              <w:bottom w:val="nil"/>
              <w:right w:val="nil"/>
            </w:tcBorders>
            <w:tcMar>
              <w:top w:w="0" w:type="dxa"/>
              <w:left w:w="0" w:type="dxa"/>
              <w:bottom w:w="0" w:type="dxa"/>
              <w:right w:w="0" w:type="dxa"/>
            </w:tcMar>
          </w:tcPr>
          <w:p w:rsidR="00ED2DC2" w:rsidRPr="00F07F1B" w:rsidRDefault="00ED2DC2" w:rsidP="00F85B91">
            <w:pPr>
              <w:jc w:val="both"/>
              <w:rPr>
                <w:kern w:val="28"/>
                <w:sz w:val="22"/>
                <w:szCs w:val="20"/>
              </w:rPr>
            </w:pPr>
            <w:r w:rsidRPr="00F07F1B">
              <w:rPr>
                <w:kern w:val="28"/>
                <w:sz w:val="22"/>
                <w:szCs w:val="20"/>
              </w:rPr>
              <w:t>Telephone</w:t>
            </w:r>
          </w:p>
          <w:p w:rsidR="00ED2DC2" w:rsidRPr="00F07F1B" w:rsidRDefault="00ED2DC2" w:rsidP="00F85B91">
            <w:pPr>
              <w:jc w:val="both"/>
              <w:rPr>
                <w:kern w:val="28"/>
                <w:sz w:val="22"/>
                <w:szCs w:val="20"/>
              </w:rPr>
            </w:pPr>
          </w:p>
        </w:tc>
        <w:tc>
          <w:tcPr>
            <w:tcW w:w="236" w:type="dxa"/>
            <w:tcMar>
              <w:top w:w="0" w:type="dxa"/>
              <w:left w:w="0" w:type="dxa"/>
              <w:bottom w:w="0" w:type="dxa"/>
              <w:right w:w="0" w:type="dxa"/>
            </w:tcMar>
          </w:tcPr>
          <w:p w:rsidR="00ED2DC2" w:rsidRPr="00F07F1B" w:rsidRDefault="00ED2DC2" w:rsidP="00F85B91">
            <w:pPr>
              <w:jc w:val="both"/>
              <w:rPr>
                <w:kern w:val="28"/>
                <w:sz w:val="22"/>
                <w:szCs w:val="20"/>
              </w:rPr>
            </w:pPr>
          </w:p>
        </w:tc>
      </w:tr>
    </w:tbl>
    <w:p w:rsidR="00ED2DC2" w:rsidRPr="00F07F1B" w:rsidRDefault="00ED2DC2" w:rsidP="00ED2DC2">
      <w:pPr>
        <w:jc w:val="both"/>
        <w:rPr>
          <w:kern w:val="28"/>
          <w:sz w:val="22"/>
          <w:szCs w:val="20"/>
        </w:rPr>
      </w:pPr>
    </w:p>
    <w:p w:rsidR="00ED2DC2" w:rsidRPr="00F07F1B" w:rsidRDefault="00ED2DC2" w:rsidP="00ED2DC2">
      <w:pPr>
        <w:keepNext/>
        <w:keepLines/>
        <w:tabs>
          <w:tab w:val="left" w:pos="1800"/>
        </w:tabs>
        <w:suppressAutoHyphens/>
        <w:spacing w:before="360"/>
        <w:ind w:left="2160" w:hanging="2160"/>
        <w:jc w:val="both"/>
        <w:rPr>
          <w:spacing w:val="-2"/>
          <w:kern w:val="28"/>
          <w:sz w:val="22"/>
          <w:szCs w:val="20"/>
        </w:rPr>
      </w:pPr>
      <w:r w:rsidRPr="00F07F1B">
        <w:rPr>
          <w:spacing w:val="-2"/>
          <w:kern w:val="28"/>
          <w:sz w:val="22"/>
          <w:szCs w:val="20"/>
        </w:rPr>
        <w:t>LEGAL REF.:</w:t>
      </w:r>
      <w:r w:rsidRPr="00F07F1B">
        <w:rPr>
          <w:spacing w:val="-2"/>
          <w:kern w:val="28"/>
          <w:sz w:val="22"/>
          <w:szCs w:val="20"/>
        </w:rPr>
        <w:tab/>
        <w:t xml:space="preserve">17 U.S.C. §101 </w:t>
      </w:r>
      <w:r w:rsidRPr="00F07F1B">
        <w:rPr>
          <w:spacing w:val="-2"/>
          <w:kern w:val="28"/>
          <w:sz w:val="22"/>
          <w:szCs w:val="20"/>
          <w:u w:val="single"/>
        </w:rPr>
        <w:t>et</w:t>
      </w:r>
      <w:r w:rsidRPr="00F07F1B">
        <w:rPr>
          <w:spacing w:val="-2"/>
          <w:kern w:val="28"/>
          <w:sz w:val="22"/>
          <w:szCs w:val="20"/>
        </w:rPr>
        <w:t xml:space="preserve"> </w:t>
      </w:r>
      <w:r w:rsidRPr="00F07F1B">
        <w:rPr>
          <w:spacing w:val="-2"/>
          <w:kern w:val="28"/>
          <w:sz w:val="22"/>
          <w:szCs w:val="20"/>
          <w:u w:val="single"/>
        </w:rPr>
        <w:t>seq</w:t>
      </w:r>
      <w:r w:rsidRPr="00F07F1B">
        <w:rPr>
          <w:spacing w:val="-2"/>
          <w:kern w:val="28"/>
          <w:sz w:val="22"/>
          <w:szCs w:val="20"/>
        </w:rPr>
        <w:t>., Federal Copyright Law of 1976.</w:t>
      </w:r>
    </w:p>
    <w:p w:rsidR="00ED2DC2" w:rsidRPr="00F07F1B" w:rsidRDefault="00ED2DC2" w:rsidP="00ED2DC2">
      <w:pPr>
        <w:keepNext/>
        <w:keepLines/>
        <w:suppressAutoHyphens/>
        <w:ind w:left="2160" w:hanging="360"/>
        <w:jc w:val="both"/>
        <w:rPr>
          <w:spacing w:val="-2"/>
          <w:kern w:val="28"/>
          <w:sz w:val="22"/>
          <w:szCs w:val="20"/>
        </w:rPr>
      </w:pPr>
      <w:r w:rsidRPr="00F07F1B">
        <w:rPr>
          <w:spacing w:val="-2"/>
          <w:kern w:val="28"/>
          <w:sz w:val="22"/>
          <w:szCs w:val="20"/>
        </w:rPr>
        <w:t>105 ILCS 5/10-23.10.</w:t>
      </w:r>
    </w:p>
    <w:p w:rsidR="00ED2DC2" w:rsidRDefault="00ED2DC2" w:rsidP="00ED2DC2">
      <w:pPr>
        <w:keepNext/>
        <w:keepLines/>
        <w:tabs>
          <w:tab w:val="left" w:pos="1800"/>
        </w:tabs>
        <w:spacing w:before="240"/>
        <w:ind w:left="1800" w:hanging="1800"/>
        <w:rPr>
          <w:kern w:val="28"/>
          <w:sz w:val="22"/>
          <w:szCs w:val="20"/>
        </w:rPr>
      </w:pPr>
      <w:r w:rsidRPr="00F07F1B">
        <w:rPr>
          <w:kern w:val="28"/>
          <w:sz w:val="22"/>
          <w:szCs w:val="20"/>
        </w:rPr>
        <w:t>CROSS REF.:</w:t>
      </w:r>
      <w:r w:rsidRPr="00F07F1B">
        <w:rPr>
          <w:kern w:val="28"/>
          <w:sz w:val="22"/>
          <w:szCs w:val="20"/>
        </w:rPr>
        <w:tab/>
        <w:t>6:235 (Access to Electronic Networks)</w:t>
      </w:r>
    </w:p>
    <w:p w:rsidR="00ED2DC2" w:rsidRDefault="00ED2DC2" w:rsidP="00ED2DC2">
      <w:pPr>
        <w:keepNext/>
        <w:keepLines/>
        <w:tabs>
          <w:tab w:val="left" w:pos="1800"/>
        </w:tabs>
        <w:spacing w:before="240"/>
        <w:ind w:left="1800" w:hanging="1800"/>
        <w:rPr>
          <w:kern w:val="28"/>
          <w:sz w:val="22"/>
          <w:szCs w:val="20"/>
        </w:rPr>
      </w:pPr>
      <w:proofErr w:type="gramStart"/>
      <w:r>
        <w:rPr>
          <w:kern w:val="28"/>
          <w:sz w:val="22"/>
          <w:szCs w:val="20"/>
        </w:rPr>
        <w:t>ADOPTED.:</w:t>
      </w:r>
      <w:proofErr w:type="gramEnd"/>
      <w:r>
        <w:rPr>
          <w:kern w:val="28"/>
          <w:sz w:val="22"/>
          <w:szCs w:val="20"/>
        </w:rPr>
        <w:tab/>
        <w:t>May 11, 2023</w:t>
      </w:r>
    </w:p>
    <w:p w:rsidR="00ED2DC2" w:rsidRDefault="00ED2DC2" w:rsidP="00ED2DC2">
      <w:pPr>
        <w:keepNext/>
        <w:keepLines/>
        <w:tabs>
          <w:tab w:val="left" w:pos="1800"/>
        </w:tabs>
        <w:spacing w:before="240"/>
        <w:ind w:left="1800" w:hanging="1800"/>
        <w:rPr>
          <w:kern w:val="28"/>
          <w:sz w:val="22"/>
          <w:szCs w:val="20"/>
        </w:rPr>
      </w:pPr>
    </w:p>
    <w:p w:rsidR="00C64697" w:rsidRDefault="00C64697"/>
    <w:sectPr w:rsidR="00C64697" w:rsidSect="00C64697">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540" w:rsidRDefault="00960540" w:rsidP="00BA1216">
      <w:r>
        <w:separator/>
      </w:r>
    </w:p>
  </w:endnote>
  <w:endnote w:type="continuationSeparator" w:id="0">
    <w:p w:rsidR="00960540" w:rsidRDefault="00960540" w:rsidP="00BA12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DC2" w:rsidRDefault="00ED2DC2" w:rsidP="00ED2DC2">
    <w:pPr>
      <w:pStyle w:val="IASBFooter"/>
    </w:pPr>
  </w:p>
  <w:p w:rsidR="00ED2DC2" w:rsidRPr="006A595C" w:rsidRDefault="00ED2DC2" w:rsidP="00ED2DC2">
    <w:pPr>
      <w:pStyle w:val="IASBFooter"/>
    </w:pPr>
    <w:r>
      <w:t>5:170</w:t>
    </w:r>
    <w:r w:rsidRPr="006A595C">
      <w:tab/>
    </w:r>
    <w:r>
      <w:tab/>
    </w:r>
    <w:r w:rsidRPr="006A595C">
      <w:t xml:space="preserve">Page </w:t>
    </w:r>
    <w:r w:rsidRPr="000D528C">
      <w:fldChar w:fldCharType="begin"/>
    </w:r>
    <w:r>
      <w:instrText xml:space="preserve"> PAGE   \* MERGEFORMAT </w:instrText>
    </w:r>
    <w:r w:rsidRPr="000D528C">
      <w:fldChar w:fldCharType="separate"/>
    </w:r>
    <w:r>
      <w:rPr>
        <w:noProof/>
      </w:rPr>
      <w:t>1</w:t>
    </w:r>
    <w:r w:rsidRPr="000D528C">
      <w:fldChar w:fldCharType="end"/>
    </w:r>
    <w:r w:rsidRPr="006A595C">
      <w:t xml:space="preserve"> of </w:t>
    </w:r>
    <w:fldSimple w:instr=" SECTIONPAGES  \* Arabic  \* MERGEFORMAT ">
      <w:r>
        <w:rPr>
          <w:noProof/>
        </w:rPr>
        <w:t>1</w:t>
      </w:r>
    </w:fldSimple>
  </w:p>
  <w:p w:rsidR="00ED2DC2" w:rsidRDefault="00ED2DC2" w:rsidP="00ED2DC2"/>
  <w:p w:rsidR="003042AA" w:rsidRDefault="003042AA">
    <w:pPr>
      <w:pStyle w:val="FooterCha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540" w:rsidRDefault="00960540" w:rsidP="00BA1216">
      <w:r>
        <w:separator/>
      </w:r>
    </w:p>
  </w:footnote>
  <w:footnote w:type="continuationSeparator" w:id="0">
    <w:p w:rsidR="00960540" w:rsidRDefault="00960540" w:rsidP="00BA12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F465D"/>
    <w:rsid w:val="00107180"/>
    <w:rsid w:val="00260B8A"/>
    <w:rsid w:val="003042AA"/>
    <w:rsid w:val="0089545C"/>
    <w:rsid w:val="00960540"/>
    <w:rsid w:val="00B16F76"/>
    <w:rsid w:val="00B97782"/>
    <w:rsid w:val="00BA1216"/>
    <w:rsid w:val="00BF465D"/>
    <w:rsid w:val="00C64697"/>
    <w:rsid w:val="00EC0F97"/>
    <w:rsid w:val="00ED2D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D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D2DC2"/>
    <w:pPr>
      <w:tabs>
        <w:tab w:val="center" w:pos="4680"/>
        <w:tab w:val="right" w:pos="9360"/>
      </w:tabs>
    </w:pPr>
  </w:style>
  <w:style w:type="character" w:customStyle="1" w:styleId="HeaderChar">
    <w:name w:val="Header Char"/>
    <w:basedOn w:val="DefaultParagraphFont"/>
    <w:link w:val="Header"/>
    <w:uiPriority w:val="99"/>
    <w:semiHidden/>
    <w:rsid w:val="00ED2DC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D2DC2"/>
    <w:pPr>
      <w:tabs>
        <w:tab w:val="center" w:pos="4680"/>
        <w:tab w:val="right" w:pos="9360"/>
      </w:tabs>
    </w:pPr>
  </w:style>
  <w:style w:type="character" w:customStyle="1" w:styleId="FooterChar">
    <w:name w:val="Footer Char"/>
    <w:basedOn w:val="DefaultParagraphFont"/>
    <w:link w:val="Footer"/>
    <w:uiPriority w:val="99"/>
    <w:semiHidden/>
    <w:rsid w:val="00ED2DC2"/>
    <w:rPr>
      <w:rFonts w:ascii="Times New Roman" w:eastAsia="Times New Roman" w:hAnsi="Times New Roman" w:cs="Times New Roman"/>
      <w:sz w:val="24"/>
      <w:szCs w:val="24"/>
    </w:rPr>
  </w:style>
  <w:style w:type="paragraph" w:customStyle="1" w:styleId="IASBFooter">
    <w:name w:val="IASB Footer"/>
    <w:basedOn w:val="Footer"/>
    <w:qFormat/>
    <w:rsid w:val="00ED2DC2"/>
    <w:pPr>
      <w:tabs>
        <w:tab w:val="clear" w:pos="4680"/>
        <w:tab w:val="clear" w:pos="9360"/>
        <w:tab w:val="center" w:pos="4320"/>
        <w:tab w:val="right" w:pos="8640"/>
      </w:tabs>
      <w:jc w:val="both"/>
    </w:pPr>
    <w:rPr>
      <w:kern w:val="28"/>
      <w:sz w:val="2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C4A03-690F-4BE0-86C3-2FB7BFD80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2023-03-29T18:38:00Z</dcterms:created>
  <dcterms:modified xsi:type="dcterms:W3CDTF">2023-03-29T18:38:00Z</dcterms:modified>
</cp:coreProperties>
</file>