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AF90E" w14:textId="77777777" w:rsidR="001D334B" w:rsidRDefault="001D334B" w:rsidP="001D334B">
      <w:pPr>
        <w:pBdr>
          <w:bottom w:val="single" w:sz="6" w:space="1" w:color="auto"/>
        </w:pBdr>
        <w:tabs>
          <w:tab w:val="right" w:pos="9000"/>
        </w:tabs>
      </w:pPr>
      <w:r>
        <w:t>November 2020</w:t>
      </w:r>
      <w:r>
        <w:tab/>
        <w:t>2:20-E</w:t>
      </w:r>
    </w:p>
    <w:p w14:paraId="41215053" w14:textId="77777777" w:rsidR="001D334B" w:rsidRDefault="001D334B" w:rsidP="001D334B"/>
    <w:p w14:paraId="36134982" w14:textId="77777777" w:rsidR="001D334B" w:rsidRDefault="001D334B" w:rsidP="001D334B">
      <w:pPr>
        <w:pStyle w:val="Heading1"/>
      </w:pPr>
      <w:r>
        <w:t>School Board</w:t>
      </w:r>
    </w:p>
    <w:p w14:paraId="1CF7D366" w14:textId="77777777" w:rsidR="001D334B" w:rsidRDefault="001D334B" w:rsidP="001D334B">
      <w:pPr>
        <w:pStyle w:val="Heading2"/>
        <w:rPr>
          <w:u w:val="none"/>
        </w:rPr>
      </w:pPr>
      <w:r>
        <w:t>Exhibit - Waiver and Modification Request Resource Guide</w:t>
      </w:r>
    </w:p>
    <w:tbl>
      <w:tblPr>
        <w:tblW w:w="90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16"/>
        <w:gridCol w:w="5415"/>
      </w:tblGrid>
      <w:tr w:rsidR="001D334B" w14:paraId="6BDCE3E2" w14:textId="77777777" w:rsidTr="00AC160D">
        <w:trPr>
          <w:tblHeader/>
          <w:jc w:val="center"/>
        </w:trPr>
        <w:tc>
          <w:tcPr>
            <w:tcW w:w="3616" w:type="dxa"/>
            <w:tcBorders>
              <w:top w:val="single" w:sz="6" w:space="0" w:color="auto"/>
              <w:left w:val="single" w:sz="6" w:space="0" w:color="auto"/>
              <w:bottom w:val="single" w:sz="6" w:space="0" w:color="auto"/>
              <w:right w:val="single" w:sz="6" w:space="0" w:color="auto"/>
            </w:tcBorders>
          </w:tcPr>
          <w:p w14:paraId="6A75BB5B" w14:textId="77777777" w:rsidR="001D334B" w:rsidRPr="00166C0B" w:rsidRDefault="001D334B" w:rsidP="00AC160D">
            <w:pPr>
              <w:pStyle w:val="BodyText"/>
              <w:jc w:val="center"/>
              <w:rPr>
                <w:b/>
                <w:lang w:val="en-US" w:eastAsia="en-US"/>
              </w:rPr>
            </w:pPr>
            <w:r w:rsidRPr="00166C0B">
              <w:rPr>
                <w:b/>
                <w:lang w:val="en-US" w:eastAsia="en-US"/>
              </w:rPr>
              <w:t>Waiver or Modification</w:t>
            </w:r>
          </w:p>
        </w:tc>
        <w:tc>
          <w:tcPr>
            <w:tcW w:w="5415" w:type="dxa"/>
            <w:tcBorders>
              <w:top w:val="single" w:sz="6" w:space="0" w:color="auto"/>
              <w:left w:val="single" w:sz="6" w:space="0" w:color="auto"/>
              <w:bottom w:val="single" w:sz="6" w:space="0" w:color="auto"/>
              <w:right w:val="single" w:sz="6" w:space="0" w:color="auto"/>
            </w:tcBorders>
          </w:tcPr>
          <w:p w14:paraId="41A180F4" w14:textId="77777777" w:rsidR="001D334B" w:rsidRPr="00166C0B" w:rsidRDefault="001D334B" w:rsidP="00AC160D">
            <w:pPr>
              <w:pStyle w:val="BodyText"/>
              <w:jc w:val="center"/>
              <w:rPr>
                <w:b/>
                <w:lang w:val="en-US" w:eastAsia="en-US"/>
              </w:rPr>
            </w:pPr>
            <w:r w:rsidRPr="00166C0B">
              <w:rPr>
                <w:b/>
                <w:lang w:val="en-US" w:eastAsia="en-US"/>
              </w:rPr>
              <w:t>Explanation, Special Considerations, and Resources</w:t>
            </w:r>
          </w:p>
        </w:tc>
      </w:tr>
      <w:tr w:rsidR="001D334B" w14:paraId="7253B9BF" w14:textId="77777777" w:rsidTr="00AC160D">
        <w:trPr>
          <w:jc w:val="center"/>
        </w:trPr>
        <w:tc>
          <w:tcPr>
            <w:tcW w:w="3616" w:type="dxa"/>
            <w:tcBorders>
              <w:top w:val="single" w:sz="6" w:space="0" w:color="auto"/>
              <w:left w:val="single" w:sz="6" w:space="0" w:color="auto"/>
              <w:bottom w:val="single" w:sz="6" w:space="0" w:color="auto"/>
              <w:right w:val="single" w:sz="6" w:space="0" w:color="auto"/>
            </w:tcBorders>
          </w:tcPr>
          <w:p w14:paraId="141F4DBD" w14:textId="77777777" w:rsidR="001D334B" w:rsidRPr="00166C0B" w:rsidRDefault="001D334B" w:rsidP="00AC160D">
            <w:pPr>
              <w:pStyle w:val="BodyText"/>
              <w:jc w:val="left"/>
              <w:rPr>
                <w:lang w:val="en-US" w:eastAsia="en-US"/>
              </w:rPr>
            </w:pPr>
            <w:r w:rsidRPr="00166C0B">
              <w:rPr>
                <w:lang w:val="en-US" w:eastAsia="en-US"/>
              </w:rPr>
              <w:t>Exemptions from Unfunded Mandates, 105 ILCS 5/22-60.</w:t>
            </w:r>
          </w:p>
        </w:tc>
        <w:tc>
          <w:tcPr>
            <w:tcW w:w="5415" w:type="dxa"/>
            <w:tcBorders>
              <w:top w:val="single" w:sz="6" w:space="0" w:color="auto"/>
              <w:left w:val="single" w:sz="6" w:space="0" w:color="auto"/>
              <w:bottom w:val="single" w:sz="6" w:space="0" w:color="auto"/>
              <w:right w:val="single" w:sz="6" w:space="0" w:color="auto"/>
            </w:tcBorders>
          </w:tcPr>
          <w:p w14:paraId="0FF61039" w14:textId="77777777" w:rsidR="001D334B" w:rsidRPr="00166C0B" w:rsidRDefault="001D334B" w:rsidP="00AC160D">
            <w:pPr>
              <w:pStyle w:val="BodyText"/>
              <w:spacing w:after="0"/>
              <w:jc w:val="left"/>
              <w:rPr>
                <w:b/>
                <w:lang w:val="en-US" w:eastAsia="en-US"/>
              </w:rPr>
            </w:pPr>
            <w:r w:rsidRPr="00166C0B">
              <w:rPr>
                <w:b/>
                <w:lang w:val="en-US" w:eastAsia="en-US"/>
              </w:rPr>
              <w:t>Explanation</w:t>
            </w:r>
          </w:p>
          <w:p w14:paraId="6DD915E6" w14:textId="77777777" w:rsidR="001D334B" w:rsidRPr="00166C0B" w:rsidRDefault="001D334B" w:rsidP="00AC160D">
            <w:pPr>
              <w:pStyle w:val="BodyText"/>
              <w:spacing w:after="40"/>
              <w:jc w:val="left"/>
              <w:rPr>
                <w:lang w:val="en-US" w:eastAsia="en-US"/>
              </w:rPr>
            </w:pPr>
            <w:r w:rsidRPr="00166C0B">
              <w:rPr>
                <w:lang w:val="en-US" w:eastAsia="en-US"/>
              </w:rPr>
              <w:t>Applies to unfunded or under-funded: (1) mandates in the School Code enacted after 8-20-10, or (2) regulatory mandates promulgated by the Ill. State Board of Education (ISBE) and adopted by rule after 8-20-10, other than those promulgated with respect to 105 ILCS 5/22-60 or statutes already enacted on or before 8-20-10.</w:t>
            </w:r>
          </w:p>
          <w:p w14:paraId="3C2A056D" w14:textId="77777777" w:rsidR="001D334B" w:rsidRPr="00166C0B" w:rsidRDefault="001D334B" w:rsidP="00AC160D">
            <w:pPr>
              <w:pStyle w:val="BodyText"/>
              <w:spacing w:after="40"/>
              <w:jc w:val="left"/>
              <w:rPr>
                <w:lang w:val="en-US" w:eastAsia="en-US"/>
              </w:rPr>
            </w:pPr>
            <w:r w:rsidRPr="00166C0B">
              <w:rPr>
                <w:lang w:val="en-US" w:eastAsia="en-US"/>
              </w:rPr>
              <w:t>Allows the District to petition its Regional Superintendent or a Suburban Cook County Intermediate Service Center, whichever is appropriate, to request exemption from implementing the mandate in school(s) in the next school year.</w:t>
            </w:r>
          </w:p>
          <w:p w14:paraId="331EFD97" w14:textId="77777777" w:rsidR="001D334B" w:rsidRPr="00166C0B" w:rsidRDefault="001D334B" w:rsidP="00AC160D">
            <w:pPr>
              <w:pStyle w:val="BodyText"/>
              <w:spacing w:after="0"/>
              <w:jc w:val="left"/>
              <w:rPr>
                <w:b/>
                <w:lang w:val="en-US" w:eastAsia="en-US"/>
              </w:rPr>
            </w:pPr>
            <w:r w:rsidRPr="00166C0B">
              <w:rPr>
                <w:b/>
                <w:lang w:val="en-US" w:eastAsia="en-US"/>
              </w:rPr>
              <w:t>Special Considerations</w:t>
            </w:r>
          </w:p>
          <w:p w14:paraId="46F35F46" w14:textId="77777777" w:rsidR="001D334B" w:rsidRPr="00166C0B" w:rsidRDefault="001D334B" w:rsidP="001D334B">
            <w:pPr>
              <w:pStyle w:val="ListNumber"/>
              <w:numPr>
                <w:ilvl w:val="0"/>
                <w:numId w:val="1"/>
              </w:numPr>
              <w:spacing w:before="60" w:after="60"/>
              <w:jc w:val="left"/>
              <w:rPr>
                <w:lang w:val="en-US" w:eastAsia="en-US"/>
              </w:rPr>
            </w:pPr>
            <w:r w:rsidRPr="00166C0B">
              <w:rPr>
                <w:lang w:val="en-US" w:eastAsia="en-US"/>
              </w:rPr>
              <w:t>Whether the significance of the unfunded or under-funded mandate justifies the effort needed to seek an exemption, and</w:t>
            </w:r>
          </w:p>
          <w:p w14:paraId="019ADCF8" w14:textId="77777777" w:rsidR="001D334B" w:rsidRPr="00166C0B" w:rsidRDefault="001D334B" w:rsidP="001D334B">
            <w:pPr>
              <w:pStyle w:val="ListNumber"/>
              <w:numPr>
                <w:ilvl w:val="0"/>
                <w:numId w:val="1"/>
              </w:numPr>
              <w:spacing w:before="60" w:after="60"/>
              <w:jc w:val="left"/>
              <w:rPr>
                <w:lang w:val="en-US" w:eastAsia="en-US"/>
              </w:rPr>
            </w:pPr>
            <w:r w:rsidRPr="00166C0B">
              <w:rPr>
                <w:lang w:val="en-US" w:eastAsia="en-US"/>
              </w:rPr>
              <w:t xml:space="preserve">The advisability of simultaneously seeking a waiver or modification using Section 2-3.25g (see </w:t>
            </w:r>
            <w:r w:rsidRPr="00166C0B">
              <w:rPr>
                <w:i/>
                <w:lang w:val="en-US" w:eastAsia="en-US"/>
              </w:rPr>
              <w:t>Explanation</w:t>
            </w:r>
            <w:r w:rsidRPr="00166C0B">
              <w:rPr>
                <w:lang w:val="en-US" w:eastAsia="en-US"/>
              </w:rPr>
              <w:t xml:space="preserve"> section in the row below).</w:t>
            </w:r>
          </w:p>
          <w:p w14:paraId="2D1BD616" w14:textId="77777777" w:rsidR="001D334B" w:rsidRPr="00166C0B" w:rsidRDefault="001D334B" w:rsidP="00AC160D">
            <w:pPr>
              <w:pStyle w:val="BodyText"/>
              <w:spacing w:before="0" w:after="0"/>
              <w:jc w:val="left"/>
              <w:rPr>
                <w:b/>
                <w:lang w:val="en-US" w:eastAsia="en-US"/>
              </w:rPr>
            </w:pPr>
            <w:r w:rsidRPr="00166C0B">
              <w:rPr>
                <w:b/>
                <w:lang w:val="en-US" w:eastAsia="en-US"/>
              </w:rPr>
              <w:t xml:space="preserve">Resources </w:t>
            </w:r>
          </w:p>
          <w:p w14:paraId="1FF0C21E" w14:textId="77777777" w:rsidR="001D334B" w:rsidRDefault="001D334B" w:rsidP="00AC160D">
            <w:pPr>
              <w:pStyle w:val="List2"/>
              <w:spacing w:after="60"/>
              <w:ind w:left="360"/>
              <w:jc w:val="left"/>
            </w:pPr>
            <w:r>
              <w:t xml:space="preserve">ISBE </w:t>
            </w:r>
            <w:r w:rsidRPr="00C74EED">
              <w:t>Rules and Waivers division</w:t>
            </w:r>
            <w:r>
              <w:t xml:space="preserve"> </w:t>
            </w:r>
            <w:r w:rsidRPr="00C74EED">
              <w:t>at</w:t>
            </w:r>
            <w:r>
              <w:t xml:space="preserve">: </w:t>
            </w:r>
            <w:hyperlink r:id="rId7" w:history="1">
              <w:r>
                <w:rPr>
                  <w:rFonts w:ascii="ZWAdobeF" w:hAnsi="ZWAdobeF" w:cs="ZWAdobeF"/>
                  <w:sz w:val="2"/>
                  <w:szCs w:val="2"/>
                </w:rPr>
                <w:t>21TU</w:t>
              </w:r>
              <w:r w:rsidRPr="00A207C9">
                <w:rPr>
                  <w:rStyle w:val="Hyperlink"/>
                </w:rPr>
                <w:t>www.isbe.net/Pages/Waivers.aspx</w:t>
              </w:r>
            </w:hyperlink>
            <w:r w:rsidRPr="002D34B8">
              <w:rPr>
                <w:rFonts w:ascii="ZWAdobeF" w:hAnsi="ZWAdobeF" w:cs="ZWAdobeF"/>
                <w:sz w:val="2"/>
                <w:szCs w:val="2"/>
              </w:rPr>
              <w:t>U21T</w:t>
            </w:r>
            <w:r>
              <w:t>,</w:t>
            </w:r>
            <w:r w:rsidRPr="00C74EED">
              <w:t xml:space="preserve"> (217) 782-5270, or </w:t>
            </w:r>
            <w:hyperlink r:id="rId8" w:history="1">
              <w:r w:rsidRPr="00257408">
                <w:rPr>
                  <w:rStyle w:val="Hyperlink"/>
                </w:rPr>
                <w:t>waivers@isbe.net</w:t>
              </w:r>
            </w:hyperlink>
            <w:r w:rsidRPr="00C74EED">
              <w:t>.</w:t>
            </w:r>
          </w:p>
        </w:tc>
      </w:tr>
      <w:tr w:rsidR="001D334B" w14:paraId="526CF8CE" w14:textId="77777777" w:rsidTr="00AC160D">
        <w:trPr>
          <w:jc w:val="center"/>
        </w:trPr>
        <w:tc>
          <w:tcPr>
            <w:tcW w:w="3616" w:type="dxa"/>
            <w:tcBorders>
              <w:top w:val="single" w:sz="6" w:space="0" w:color="auto"/>
              <w:left w:val="single" w:sz="6" w:space="0" w:color="auto"/>
              <w:bottom w:val="single" w:sz="6" w:space="0" w:color="auto"/>
              <w:right w:val="single" w:sz="6" w:space="0" w:color="auto"/>
            </w:tcBorders>
          </w:tcPr>
          <w:p w14:paraId="1109C977" w14:textId="77777777" w:rsidR="001D334B" w:rsidRPr="00166C0B" w:rsidRDefault="001D334B" w:rsidP="00AC160D">
            <w:pPr>
              <w:pStyle w:val="BodyText"/>
              <w:jc w:val="left"/>
              <w:rPr>
                <w:lang w:val="en-US" w:eastAsia="en-US"/>
              </w:rPr>
            </w:pPr>
            <w:r w:rsidRPr="00166C0B">
              <w:rPr>
                <w:lang w:val="en-US" w:eastAsia="en-US"/>
              </w:rPr>
              <w:t xml:space="preserve">School Code Mandates and ISBE Rules, 105 ILCS 5/2-3.25g, amended by P.A. 100-465; 23 </w:t>
            </w:r>
            <w:proofErr w:type="spellStart"/>
            <w:proofErr w:type="gramStart"/>
            <w:r w:rsidRPr="00166C0B">
              <w:rPr>
                <w:lang w:val="en-US" w:eastAsia="en-US"/>
              </w:rPr>
              <w:t>Ill.Admin.Code</w:t>
            </w:r>
            <w:proofErr w:type="spellEnd"/>
            <w:proofErr w:type="gramEnd"/>
            <w:r w:rsidRPr="00166C0B">
              <w:rPr>
                <w:lang w:val="en-US" w:eastAsia="en-US"/>
              </w:rPr>
              <w:t xml:space="preserve"> §1.100.</w:t>
            </w:r>
          </w:p>
        </w:tc>
        <w:tc>
          <w:tcPr>
            <w:tcW w:w="5415" w:type="dxa"/>
            <w:tcBorders>
              <w:top w:val="single" w:sz="6" w:space="0" w:color="auto"/>
              <w:left w:val="single" w:sz="6" w:space="0" w:color="auto"/>
              <w:bottom w:val="single" w:sz="6" w:space="0" w:color="auto"/>
              <w:right w:val="single" w:sz="6" w:space="0" w:color="auto"/>
            </w:tcBorders>
          </w:tcPr>
          <w:p w14:paraId="3F8299D8" w14:textId="77777777" w:rsidR="001D334B" w:rsidRPr="00166C0B" w:rsidRDefault="001D334B" w:rsidP="00AC160D">
            <w:pPr>
              <w:pStyle w:val="BodyText"/>
              <w:jc w:val="left"/>
              <w:rPr>
                <w:b/>
                <w:lang w:val="en-US" w:eastAsia="en-US"/>
              </w:rPr>
            </w:pPr>
            <w:r w:rsidRPr="00166C0B">
              <w:rPr>
                <w:b/>
                <w:lang w:val="en-US" w:eastAsia="en-US"/>
              </w:rPr>
              <w:t>Explanation</w:t>
            </w:r>
          </w:p>
          <w:p w14:paraId="1054D57A" w14:textId="77777777" w:rsidR="001D334B" w:rsidRPr="00166C0B" w:rsidRDefault="001D334B" w:rsidP="00AC160D">
            <w:pPr>
              <w:pStyle w:val="BodyText"/>
              <w:jc w:val="left"/>
              <w:rPr>
                <w:lang w:val="en-US" w:eastAsia="en-US"/>
              </w:rPr>
            </w:pPr>
            <w:r w:rsidRPr="00166C0B">
              <w:rPr>
                <w:lang w:val="en-US" w:eastAsia="en-US"/>
              </w:rPr>
              <w:t>There are two options for the District (explanations are listed below each option):</w:t>
            </w:r>
          </w:p>
          <w:p w14:paraId="218E7347" w14:textId="77777777" w:rsidR="001D334B" w:rsidRPr="00166C0B" w:rsidRDefault="001D334B" w:rsidP="00AC160D">
            <w:pPr>
              <w:pStyle w:val="BodyText"/>
              <w:jc w:val="left"/>
              <w:rPr>
                <w:lang w:val="en-US" w:eastAsia="en-US"/>
              </w:rPr>
            </w:pPr>
            <w:r w:rsidRPr="00166C0B">
              <w:rPr>
                <w:b/>
                <w:lang w:val="en-US" w:eastAsia="en-US"/>
              </w:rPr>
              <w:t>Option 1:</w:t>
            </w:r>
            <w:r w:rsidRPr="00166C0B">
              <w:rPr>
                <w:lang w:val="en-US" w:eastAsia="en-US"/>
              </w:rPr>
              <w:t xml:space="preserve"> </w:t>
            </w:r>
            <w:r w:rsidRPr="00166C0B">
              <w:rPr>
                <w:b/>
                <w:lang w:val="en-US" w:eastAsia="en-US"/>
              </w:rPr>
              <w:t>Petition ISBE</w:t>
            </w:r>
            <w:r w:rsidRPr="00166C0B">
              <w:rPr>
                <w:lang w:val="en-US" w:eastAsia="en-US"/>
              </w:rPr>
              <w:t xml:space="preserve"> for a </w:t>
            </w:r>
            <w:r w:rsidRPr="00166C0B">
              <w:rPr>
                <w:i/>
                <w:lang w:val="en-US" w:eastAsia="en-US"/>
              </w:rPr>
              <w:t xml:space="preserve">waiver </w:t>
            </w:r>
            <w:r w:rsidRPr="00166C0B">
              <w:rPr>
                <w:lang w:val="en-US" w:eastAsia="en-US"/>
              </w:rPr>
              <w:t>of School Code mandates; ISBE forwards the petition for waiver to the Ill. General Assembly for consideration in its next-scheduled report.</w:t>
            </w:r>
          </w:p>
          <w:p w14:paraId="70E928FB" w14:textId="77777777" w:rsidR="001D334B" w:rsidRPr="00166C0B" w:rsidRDefault="001D334B" w:rsidP="00AC160D">
            <w:pPr>
              <w:pStyle w:val="BodyText"/>
              <w:jc w:val="left"/>
              <w:rPr>
                <w:lang w:val="en-US" w:eastAsia="en-US"/>
              </w:rPr>
            </w:pPr>
            <w:r w:rsidRPr="00166C0B">
              <w:rPr>
                <w:b/>
                <w:lang w:val="en-US" w:eastAsia="en-US"/>
              </w:rPr>
              <w:t>Option 2:</w:t>
            </w:r>
            <w:r w:rsidRPr="00166C0B">
              <w:rPr>
                <w:lang w:val="en-US" w:eastAsia="en-US"/>
              </w:rPr>
              <w:t xml:space="preserve"> </w:t>
            </w:r>
            <w:r w:rsidRPr="00166C0B">
              <w:rPr>
                <w:b/>
                <w:lang w:val="en-US" w:eastAsia="en-US"/>
              </w:rPr>
              <w:t>Petition ISBE</w:t>
            </w:r>
            <w:r w:rsidRPr="00166C0B">
              <w:rPr>
                <w:lang w:val="en-US" w:eastAsia="en-US"/>
              </w:rPr>
              <w:t xml:space="preserve"> for one or more of the following:</w:t>
            </w:r>
          </w:p>
          <w:p w14:paraId="3BD61C3F" w14:textId="77777777" w:rsidR="001D334B" w:rsidRPr="00166C0B" w:rsidRDefault="001D334B" w:rsidP="001D334B">
            <w:pPr>
              <w:pStyle w:val="BodyText"/>
              <w:numPr>
                <w:ilvl w:val="0"/>
                <w:numId w:val="5"/>
              </w:numPr>
              <w:jc w:val="left"/>
              <w:rPr>
                <w:lang w:val="en-US" w:eastAsia="en-US"/>
              </w:rPr>
            </w:pPr>
            <w:r w:rsidRPr="00166C0B">
              <w:rPr>
                <w:lang w:val="en-US" w:eastAsia="en-US"/>
              </w:rPr>
              <w:t xml:space="preserve">A </w:t>
            </w:r>
            <w:r w:rsidRPr="00166C0B">
              <w:rPr>
                <w:i/>
                <w:lang w:val="en-US" w:eastAsia="en-US"/>
              </w:rPr>
              <w:t xml:space="preserve">modification </w:t>
            </w:r>
            <w:r w:rsidRPr="00166C0B">
              <w:rPr>
                <w:lang w:val="en-US" w:eastAsia="en-US"/>
              </w:rPr>
              <w:t xml:space="preserve">of the mandates in the School Code (this is different than asking for a </w:t>
            </w:r>
            <w:r w:rsidRPr="00166C0B">
              <w:rPr>
                <w:i/>
                <w:lang w:val="en-US" w:eastAsia="en-US"/>
              </w:rPr>
              <w:t xml:space="preserve">waiver </w:t>
            </w:r>
            <w:r w:rsidRPr="00166C0B">
              <w:rPr>
                <w:lang w:val="en-US" w:eastAsia="en-US"/>
              </w:rPr>
              <w:t>of mandates in the School Code).</w:t>
            </w:r>
          </w:p>
          <w:p w14:paraId="2006687E" w14:textId="77777777" w:rsidR="001D334B" w:rsidRPr="00166C0B" w:rsidRDefault="001D334B" w:rsidP="001D334B">
            <w:pPr>
              <w:pStyle w:val="BodyText"/>
              <w:numPr>
                <w:ilvl w:val="0"/>
                <w:numId w:val="5"/>
              </w:numPr>
              <w:jc w:val="left"/>
              <w:rPr>
                <w:lang w:val="en-US" w:eastAsia="en-US"/>
              </w:rPr>
            </w:pPr>
            <w:r w:rsidRPr="00166C0B">
              <w:rPr>
                <w:lang w:val="en-US" w:eastAsia="en-US"/>
              </w:rPr>
              <w:t xml:space="preserve">A </w:t>
            </w:r>
            <w:r w:rsidRPr="00166C0B">
              <w:rPr>
                <w:i/>
                <w:lang w:val="en-US" w:eastAsia="en-US"/>
              </w:rPr>
              <w:t>waiver</w:t>
            </w:r>
            <w:r w:rsidRPr="00166C0B">
              <w:rPr>
                <w:lang w:val="en-US" w:eastAsia="en-US"/>
              </w:rPr>
              <w:t xml:space="preserve"> of ISBE administrative rules.</w:t>
            </w:r>
          </w:p>
          <w:p w14:paraId="30E367D1" w14:textId="77777777" w:rsidR="001D334B" w:rsidRPr="00166C0B" w:rsidRDefault="001D334B" w:rsidP="001D334B">
            <w:pPr>
              <w:pStyle w:val="BodyText"/>
              <w:numPr>
                <w:ilvl w:val="0"/>
                <w:numId w:val="5"/>
              </w:numPr>
              <w:jc w:val="left"/>
              <w:rPr>
                <w:lang w:val="en-US" w:eastAsia="en-US"/>
              </w:rPr>
            </w:pPr>
            <w:r w:rsidRPr="00166C0B">
              <w:rPr>
                <w:lang w:val="en-US" w:eastAsia="en-US"/>
              </w:rPr>
              <w:t xml:space="preserve">A </w:t>
            </w:r>
            <w:r w:rsidRPr="00166C0B">
              <w:rPr>
                <w:i/>
                <w:lang w:val="en-US" w:eastAsia="en-US"/>
              </w:rPr>
              <w:t>modification</w:t>
            </w:r>
            <w:r w:rsidRPr="00166C0B">
              <w:rPr>
                <w:lang w:val="en-US" w:eastAsia="en-US"/>
              </w:rPr>
              <w:t xml:space="preserve"> of ISBE administrative rules.</w:t>
            </w:r>
          </w:p>
          <w:p w14:paraId="1F127FB0" w14:textId="77777777" w:rsidR="001D334B" w:rsidRPr="00166C0B" w:rsidRDefault="001D334B" w:rsidP="00AC160D">
            <w:pPr>
              <w:pStyle w:val="BodyText"/>
              <w:jc w:val="left"/>
              <w:rPr>
                <w:lang w:val="en-US" w:eastAsia="en-US"/>
              </w:rPr>
            </w:pPr>
            <w:r w:rsidRPr="00166C0B">
              <w:rPr>
                <w:lang w:val="en-US" w:eastAsia="en-US"/>
              </w:rPr>
              <w:t xml:space="preserve">For </w:t>
            </w:r>
            <w:r w:rsidRPr="00166C0B">
              <w:rPr>
                <w:b/>
                <w:lang w:val="en-US" w:eastAsia="en-US"/>
              </w:rPr>
              <w:t>Option 1</w:t>
            </w:r>
            <w:r w:rsidRPr="00166C0B">
              <w:rPr>
                <w:lang w:val="en-US" w:eastAsia="en-US"/>
              </w:rPr>
              <w:t xml:space="preserve">, a </w:t>
            </w:r>
            <w:r w:rsidRPr="00166C0B">
              <w:rPr>
                <w:i/>
                <w:lang w:val="en-US" w:eastAsia="en-US"/>
              </w:rPr>
              <w:t>waiver of mandates in the School Code</w:t>
            </w:r>
            <w:r w:rsidRPr="00166C0B">
              <w:rPr>
                <w:lang w:val="en-US" w:eastAsia="en-US"/>
              </w:rPr>
              <w:t xml:space="preserve">, the District must demonstrate that the waiver is necessary </w:t>
            </w:r>
            <w:r w:rsidRPr="00166C0B">
              <w:rPr>
                <w:lang w:val="en-US" w:eastAsia="en-US"/>
              </w:rPr>
              <w:lastRenderedPageBreak/>
              <w:t xml:space="preserve">to: (a) stimulate innovation; (b) improve student performance; or (c) it can address the intent of the mandate in a more effective, efficient, or economical manner. 105 ILCS 5/2-3.25g, amended by P.A. 100-465, and 23 </w:t>
            </w:r>
            <w:proofErr w:type="spellStart"/>
            <w:proofErr w:type="gramStart"/>
            <w:r w:rsidRPr="00166C0B">
              <w:rPr>
                <w:lang w:val="en-US" w:eastAsia="en-US"/>
              </w:rPr>
              <w:t>Ill.Admin.Code</w:t>
            </w:r>
            <w:proofErr w:type="spellEnd"/>
            <w:proofErr w:type="gramEnd"/>
            <w:r w:rsidRPr="00166C0B">
              <w:rPr>
                <w:lang w:val="en-US" w:eastAsia="en-US"/>
              </w:rPr>
              <w:t xml:space="preserve"> §1.100, list and describe mandates from which school districts may not seek a </w:t>
            </w:r>
            <w:r w:rsidRPr="00166C0B">
              <w:rPr>
                <w:i/>
                <w:lang w:val="en-US" w:eastAsia="en-US"/>
              </w:rPr>
              <w:t xml:space="preserve">waiver </w:t>
            </w:r>
            <w:r w:rsidRPr="00166C0B">
              <w:rPr>
                <w:lang w:val="en-US" w:eastAsia="en-US"/>
              </w:rPr>
              <w:t xml:space="preserve">or </w:t>
            </w:r>
            <w:r w:rsidRPr="00166C0B">
              <w:rPr>
                <w:i/>
                <w:lang w:val="en-US" w:eastAsia="en-US"/>
              </w:rPr>
              <w:t>modification</w:t>
            </w:r>
            <w:r w:rsidRPr="00166C0B">
              <w:rPr>
                <w:lang w:val="en-US" w:eastAsia="en-US"/>
              </w:rPr>
              <w:t>.</w:t>
            </w:r>
          </w:p>
          <w:p w14:paraId="23B956B6" w14:textId="77777777" w:rsidR="001D334B" w:rsidRPr="00166C0B" w:rsidRDefault="001D334B" w:rsidP="00AC160D">
            <w:pPr>
              <w:pStyle w:val="BodyText"/>
              <w:jc w:val="left"/>
              <w:rPr>
                <w:lang w:val="en-US" w:eastAsia="en-US"/>
              </w:rPr>
            </w:pPr>
            <w:r w:rsidRPr="00166C0B">
              <w:rPr>
                <w:lang w:val="en-US" w:eastAsia="en-US"/>
              </w:rPr>
              <w:t xml:space="preserve">For </w:t>
            </w:r>
            <w:r w:rsidRPr="00166C0B">
              <w:rPr>
                <w:b/>
                <w:lang w:val="en-US" w:eastAsia="en-US"/>
              </w:rPr>
              <w:t>Option 2</w:t>
            </w:r>
            <w:r w:rsidRPr="00166C0B">
              <w:rPr>
                <w:lang w:val="en-US" w:eastAsia="en-US"/>
              </w:rPr>
              <w:t xml:space="preserve">, a </w:t>
            </w:r>
            <w:r w:rsidRPr="00166C0B">
              <w:rPr>
                <w:i/>
                <w:lang w:val="en-US" w:eastAsia="en-US"/>
              </w:rPr>
              <w:t>modification of the mandates in the School Code</w:t>
            </w:r>
            <w:r w:rsidRPr="00166C0B">
              <w:rPr>
                <w:lang w:val="en-US" w:eastAsia="en-US"/>
              </w:rPr>
              <w:t xml:space="preserve"> and/or a </w:t>
            </w:r>
            <w:r w:rsidRPr="00166C0B">
              <w:rPr>
                <w:i/>
                <w:lang w:val="en-US" w:eastAsia="en-US"/>
              </w:rPr>
              <w:t>waiver</w:t>
            </w:r>
            <w:r w:rsidRPr="00166C0B">
              <w:rPr>
                <w:lang w:val="en-US" w:eastAsia="en-US"/>
              </w:rPr>
              <w:t xml:space="preserve"> or </w:t>
            </w:r>
            <w:r w:rsidRPr="00166C0B">
              <w:rPr>
                <w:i/>
                <w:lang w:val="en-US" w:eastAsia="en-US"/>
              </w:rPr>
              <w:t>modification of administrative rules</w:t>
            </w:r>
            <w:r w:rsidRPr="00166C0B">
              <w:rPr>
                <w:lang w:val="en-US" w:eastAsia="en-US"/>
              </w:rPr>
              <w:t>, the District must demonstrate that: (1) it can address the intent of the rule or mandate in a more effective, efficient, or economical manner; or (2) the waiver or modification is necessary to stimulate innovation or improve student performance.</w:t>
            </w:r>
          </w:p>
          <w:p w14:paraId="18403A71" w14:textId="77777777" w:rsidR="001D334B" w:rsidRPr="00166C0B" w:rsidRDefault="001D334B" w:rsidP="00AC160D">
            <w:pPr>
              <w:pStyle w:val="BodyText"/>
              <w:jc w:val="left"/>
              <w:rPr>
                <w:lang w:val="en-US" w:eastAsia="en-US"/>
              </w:rPr>
            </w:pPr>
            <w:r w:rsidRPr="00166C0B">
              <w:rPr>
                <w:lang w:val="en-US" w:eastAsia="en-US"/>
              </w:rPr>
              <w:t>The District must also provide certain notices as follows:</w:t>
            </w:r>
          </w:p>
          <w:p w14:paraId="730ECEF9" w14:textId="77777777" w:rsidR="001D334B" w:rsidRPr="00166C0B" w:rsidRDefault="001D334B" w:rsidP="001D334B">
            <w:pPr>
              <w:pStyle w:val="BodyText"/>
              <w:numPr>
                <w:ilvl w:val="0"/>
                <w:numId w:val="6"/>
              </w:numPr>
              <w:jc w:val="left"/>
              <w:rPr>
                <w:lang w:val="en-US" w:eastAsia="en-US"/>
              </w:rPr>
            </w:pPr>
            <w:r w:rsidRPr="00166C0B">
              <w:rPr>
                <w:lang w:val="en-US" w:eastAsia="en-US"/>
              </w:rPr>
              <w:t>Publish a notice in a newspaper of general circulation within the District of the time, date, place, and general subject matter of a public hearing on the proposed waiver or modification request. This notice must be published at least seven days before the hearing.</w:t>
            </w:r>
          </w:p>
          <w:p w14:paraId="1A272311" w14:textId="77777777" w:rsidR="001D334B" w:rsidRPr="00166C0B" w:rsidRDefault="001D334B" w:rsidP="001D334B">
            <w:pPr>
              <w:pStyle w:val="BodyText"/>
              <w:numPr>
                <w:ilvl w:val="0"/>
                <w:numId w:val="6"/>
              </w:numPr>
              <w:jc w:val="left"/>
              <w:rPr>
                <w:lang w:val="en-US" w:eastAsia="en-US"/>
              </w:rPr>
            </w:pPr>
            <w:r w:rsidRPr="00166C0B">
              <w:rPr>
                <w:lang w:val="en-US" w:eastAsia="en-US"/>
              </w:rPr>
              <w:t>If there is no newspaper published in the county, give notice in a secular newspaper published in an adjoining county having general circulation within the District. 715 ILCS 5/2, amended by P.A. 100-72, and 715 ILCS 5/5.</w:t>
            </w:r>
          </w:p>
          <w:p w14:paraId="6A78F959" w14:textId="77777777" w:rsidR="001D334B" w:rsidRPr="00166C0B" w:rsidRDefault="001D334B" w:rsidP="001D334B">
            <w:pPr>
              <w:pStyle w:val="BodyText"/>
              <w:numPr>
                <w:ilvl w:val="0"/>
                <w:numId w:val="6"/>
              </w:numPr>
              <w:jc w:val="left"/>
              <w:rPr>
                <w:lang w:val="en-US" w:eastAsia="en-US"/>
              </w:rPr>
            </w:pPr>
            <w:r w:rsidRPr="00166C0B">
              <w:rPr>
                <w:lang w:val="en-US" w:eastAsia="en-US"/>
              </w:rPr>
              <w:t xml:space="preserve">Post the time, date, place, and general subject matter of the public hearing on the District’s website at least 14 days before the hearing. </w:t>
            </w:r>
          </w:p>
          <w:p w14:paraId="3E02B1AF" w14:textId="77777777" w:rsidR="001D334B" w:rsidRPr="00166C0B" w:rsidRDefault="001D334B" w:rsidP="001D334B">
            <w:pPr>
              <w:pStyle w:val="BodyText"/>
              <w:numPr>
                <w:ilvl w:val="0"/>
                <w:numId w:val="6"/>
              </w:numPr>
              <w:jc w:val="left"/>
              <w:rPr>
                <w:lang w:val="en-US" w:eastAsia="en-US"/>
              </w:rPr>
            </w:pPr>
            <w:r w:rsidRPr="00166C0B">
              <w:rPr>
                <w:lang w:val="en-US" w:eastAsia="en-US"/>
              </w:rPr>
              <w:t>Notify, electronically or in writing, the affected exclusive bargaining agent(s) and the District’s State legislators of the District’s intent to seek approval of a waiver or modification and of the hearing to be held to take testimony from staff. This notice must occur at least seven days before the hearing, and the affected exclusive bargaining agent(s) shall be allowed to attend the public hearing. 105 ILCS 5/2-3.25g(c-5), amended by P.A. 100-782.</w:t>
            </w:r>
          </w:p>
          <w:p w14:paraId="08676510" w14:textId="77777777" w:rsidR="001D334B" w:rsidRPr="00166C0B" w:rsidRDefault="001D334B" w:rsidP="00AC160D">
            <w:pPr>
              <w:pStyle w:val="BodyText"/>
              <w:jc w:val="left"/>
              <w:rPr>
                <w:lang w:val="en-US" w:eastAsia="en-US"/>
              </w:rPr>
            </w:pPr>
            <w:r w:rsidRPr="00166C0B">
              <w:rPr>
                <w:lang w:val="en-US" w:eastAsia="en-US"/>
              </w:rPr>
              <w:t xml:space="preserve">Check the ISBE website listed below in the </w:t>
            </w:r>
            <w:r w:rsidRPr="00166C0B">
              <w:rPr>
                <w:i/>
                <w:lang w:val="en-US" w:eastAsia="en-US"/>
              </w:rPr>
              <w:t>Special Considerations</w:t>
            </w:r>
            <w:r w:rsidRPr="00166C0B">
              <w:rPr>
                <w:lang w:val="en-US" w:eastAsia="en-US"/>
              </w:rPr>
              <w:t xml:space="preserve"> section for changes in notice requirements.</w:t>
            </w:r>
          </w:p>
          <w:p w14:paraId="019CCC2A" w14:textId="77777777" w:rsidR="001D334B" w:rsidRPr="00166C0B" w:rsidRDefault="001D334B" w:rsidP="00AC160D">
            <w:pPr>
              <w:pStyle w:val="BodyText"/>
              <w:spacing w:before="248" w:after="0"/>
              <w:jc w:val="left"/>
              <w:rPr>
                <w:b/>
                <w:lang w:val="en-US" w:eastAsia="en-US"/>
              </w:rPr>
            </w:pPr>
            <w:r w:rsidRPr="00166C0B">
              <w:rPr>
                <w:b/>
                <w:lang w:val="en-US" w:eastAsia="en-US"/>
              </w:rPr>
              <w:t>Special Considerations</w:t>
            </w:r>
          </w:p>
          <w:p w14:paraId="77512752" w14:textId="77777777" w:rsidR="001D334B" w:rsidRPr="00166C0B" w:rsidRDefault="001D334B" w:rsidP="00AC160D">
            <w:pPr>
              <w:pStyle w:val="BodyText"/>
              <w:jc w:val="left"/>
              <w:rPr>
                <w:lang w:val="en-US" w:eastAsia="en-US"/>
              </w:rPr>
            </w:pPr>
            <w:r w:rsidRPr="00166C0B">
              <w:rPr>
                <w:lang w:val="en-US" w:eastAsia="en-US"/>
              </w:rPr>
              <w:t xml:space="preserve">The District must develop a plan supporting a waiver or modification request that meets the criteria in 105 ILCS 5/2-3.25g. See </w:t>
            </w:r>
            <w:hyperlink r:id="rId9" w:history="1">
              <w:r w:rsidRPr="00166C0B">
                <w:rPr>
                  <w:rStyle w:val="Hyperlink"/>
                  <w:lang w:val="en-US" w:eastAsia="en-US"/>
                </w:rPr>
                <w:t>www.isbe.net/Pages/Overview-of-the-Waiver-Process.aspx</w:t>
              </w:r>
            </w:hyperlink>
            <w:r w:rsidRPr="00166C0B">
              <w:rPr>
                <w:lang w:val="en-US" w:eastAsia="en-US"/>
              </w:rPr>
              <w:t xml:space="preserve">. 105 ILCS 5/2-3.25g; 23 </w:t>
            </w:r>
            <w:proofErr w:type="spellStart"/>
            <w:proofErr w:type="gramStart"/>
            <w:r w:rsidRPr="00166C0B">
              <w:rPr>
                <w:lang w:val="en-US" w:eastAsia="en-US"/>
              </w:rPr>
              <w:t>Ill.Admin.Code</w:t>
            </w:r>
            <w:proofErr w:type="spellEnd"/>
            <w:proofErr w:type="gramEnd"/>
            <w:r w:rsidRPr="00166C0B">
              <w:rPr>
                <w:lang w:val="en-US" w:eastAsia="en-US"/>
              </w:rPr>
              <w:t xml:space="preserve"> §1.100.</w:t>
            </w:r>
          </w:p>
          <w:p w14:paraId="7F5E5A3D" w14:textId="77777777" w:rsidR="001D334B" w:rsidRPr="00166C0B" w:rsidRDefault="001D334B" w:rsidP="00AC160D">
            <w:pPr>
              <w:pStyle w:val="BodyText"/>
              <w:spacing w:after="0"/>
              <w:jc w:val="left"/>
              <w:rPr>
                <w:b/>
                <w:lang w:val="en-US" w:eastAsia="en-US"/>
              </w:rPr>
            </w:pPr>
            <w:r w:rsidRPr="00166C0B">
              <w:rPr>
                <w:b/>
                <w:lang w:val="en-US" w:eastAsia="en-US"/>
              </w:rPr>
              <w:t>Resources</w:t>
            </w:r>
          </w:p>
          <w:p w14:paraId="61B8DFA7" w14:textId="77777777" w:rsidR="001D334B" w:rsidRDefault="001D334B" w:rsidP="00AC160D">
            <w:pPr>
              <w:tabs>
                <w:tab w:val="left" w:pos="229"/>
              </w:tabs>
              <w:spacing w:before="40"/>
            </w:pPr>
            <w:r>
              <w:lastRenderedPageBreak/>
              <w:t>ISBE rules at:</w:t>
            </w:r>
          </w:p>
          <w:p w14:paraId="0C68EF80" w14:textId="77777777" w:rsidR="001D334B" w:rsidRDefault="001D334B" w:rsidP="00AC160D">
            <w:pPr>
              <w:pStyle w:val="List"/>
              <w:ind w:left="720"/>
            </w:pPr>
            <w:r>
              <w:t xml:space="preserve">23 </w:t>
            </w:r>
            <w:proofErr w:type="spellStart"/>
            <w:proofErr w:type="gramStart"/>
            <w:r>
              <w:t>Ill.Admin.Code</w:t>
            </w:r>
            <w:proofErr w:type="spellEnd"/>
            <w:proofErr w:type="gramEnd"/>
            <w:r>
              <w:t xml:space="preserve"> </w:t>
            </w:r>
            <w:r w:rsidRPr="005760F0">
              <w:t>§</w:t>
            </w:r>
            <w:r>
              <w:t xml:space="preserve">1.100 </w:t>
            </w:r>
            <w:r w:rsidRPr="00D119B0">
              <w:t>(</w:t>
            </w:r>
            <w:r w:rsidRPr="008617E9">
              <w:rPr>
                <w:i/>
              </w:rPr>
              <w:t>Waiver and Modification of State Board Rules and School Code Mandates</w:t>
            </w:r>
            <w:r w:rsidRPr="00D119B0">
              <w:t>)</w:t>
            </w:r>
          </w:p>
          <w:p w14:paraId="30B8AF35" w14:textId="77777777" w:rsidR="001D334B" w:rsidRPr="003A5342" w:rsidRDefault="001D334B" w:rsidP="00AC160D">
            <w:pPr>
              <w:pStyle w:val="List"/>
              <w:ind w:left="720"/>
            </w:pPr>
            <w:r>
              <w:t xml:space="preserve">23 </w:t>
            </w:r>
            <w:proofErr w:type="spellStart"/>
            <w:proofErr w:type="gramStart"/>
            <w:r>
              <w:t>Ill.Admin.Code</w:t>
            </w:r>
            <w:proofErr w:type="spellEnd"/>
            <w:proofErr w:type="gramEnd"/>
            <w:r>
              <w:t xml:space="preserve"> </w:t>
            </w:r>
            <w:r w:rsidRPr="005760F0">
              <w:t>§</w:t>
            </w:r>
            <w:r>
              <w:t>1.110 (</w:t>
            </w:r>
            <w:r w:rsidRPr="008617E9">
              <w:rPr>
                <w:i/>
              </w:rPr>
              <w:t>Appeal Process Under Section 22-60 of the School Code</w:t>
            </w:r>
            <w:r>
              <w:t>)</w:t>
            </w:r>
          </w:p>
          <w:p w14:paraId="38265673" w14:textId="77777777" w:rsidR="001D334B" w:rsidRPr="008675D5" w:rsidRDefault="001D334B" w:rsidP="00AC160D">
            <w:pPr>
              <w:tabs>
                <w:tab w:val="left" w:pos="229"/>
              </w:tabs>
              <w:spacing w:before="40"/>
            </w:pPr>
            <w:r w:rsidRPr="008675D5">
              <w:t xml:space="preserve">ISBE </w:t>
            </w:r>
            <w:r>
              <w:t>w</w:t>
            </w:r>
            <w:r w:rsidRPr="008675D5">
              <w:t xml:space="preserve">aivers </w:t>
            </w:r>
            <w:r>
              <w:t xml:space="preserve">at: </w:t>
            </w:r>
            <w:hyperlink r:id="rId10" w:history="1">
              <w:r w:rsidRPr="00A207C9">
                <w:rPr>
                  <w:rStyle w:val="Hyperlink"/>
                </w:rPr>
                <w:t>www.isbe.net/Pages/Waivers.aspx</w:t>
              </w:r>
            </w:hyperlink>
          </w:p>
          <w:p w14:paraId="31CF5D95" w14:textId="77777777" w:rsidR="001D334B" w:rsidRPr="00166C0B" w:rsidRDefault="001D334B" w:rsidP="00AC160D">
            <w:pPr>
              <w:pStyle w:val="Heading2"/>
              <w:spacing w:before="40" w:after="40"/>
              <w:ind w:left="360" w:hanging="360"/>
              <w:rPr>
                <w:spacing w:val="-6"/>
                <w:lang w:val="en-US" w:eastAsia="en-US"/>
              </w:rPr>
            </w:pPr>
            <w:r w:rsidRPr="00166C0B">
              <w:rPr>
                <w:rFonts w:ascii="Times New Roman" w:hAnsi="Times New Roman"/>
                <w:b w:val="0"/>
                <w:u w:val="none"/>
                <w:lang w:val="en-US" w:eastAsia="en-US"/>
              </w:rPr>
              <w:t xml:space="preserve">Waiver overview at: </w:t>
            </w:r>
            <w:hyperlink r:id="rId11" w:history="1">
              <w:r w:rsidRPr="00166C0B">
                <w:rPr>
                  <w:rStyle w:val="Hyperlink"/>
                  <w:rFonts w:ascii="Times New Roman" w:hAnsi="Times New Roman"/>
                  <w:b w:val="0"/>
                  <w:lang w:val="en-US" w:eastAsia="en-US"/>
                </w:rPr>
                <w:t>www.isbe.net/Pages/Overview-of-the-Waiver-Process.aspx</w:t>
              </w:r>
            </w:hyperlink>
          </w:p>
          <w:p w14:paraId="7B45F4DE" w14:textId="77777777" w:rsidR="001D334B" w:rsidRPr="00166C0B" w:rsidRDefault="001D334B" w:rsidP="00AC160D">
            <w:pPr>
              <w:pStyle w:val="BodyText"/>
              <w:spacing w:before="40" w:after="40"/>
              <w:ind w:left="374" w:hanging="360"/>
              <w:jc w:val="left"/>
              <w:rPr>
                <w:lang w:val="en-US" w:eastAsia="en-US"/>
              </w:rPr>
            </w:pPr>
            <w:r w:rsidRPr="00166C0B">
              <w:rPr>
                <w:lang w:val="en-US" w:eastAsia="en-US"/>
              </w:rPr>
              <w:t xml:space="preserve">Instructions at: </w:t>
            </w:r>
            <w:hyperlink r:id="rId12" w:history="1">
              <w:r w:rsidRPr="00166C0B">
                <w:rPr>
                  <w:rStyle w:val="Hyperlink"/>
                  <w:lang w:val="en-US" w:eastAsia="en-US"/>
                </w:rPr>
                <w:t>www.isbe.net/Pages/Waiver-Application.aspx</w:t>
              </w:r>
            </w:hyperlink>
          </w:p>
          <w:p w14:paraId="45CFDD63" w14:textId="77777777" w:rsidR="001D334B" w:rsidRPr="00166C0B" w:rsidRDefault="001D334B" w:rsidP="00AC160D">
            <w:pPr>
              <w:pStyle w:val="BodyText"/>
              <w:spacing w:before="40"/>
              <w:ind w:left="374" w:hanging="360"/>
              <w:jc w:val="left"/>
              <w:rPr>
                <w:lang w:val="en-US" w:eastAsia="en-US"/>
              </w:rPr>
            </w:pPr>
            <w:r w:rsidRPr="00166C0B">
              <w:rPr>
                <w:lang w:val="en-US" w:eastAsia="en-US"/>
              </w:rPr>
              <w:t xml:space="preserve">Application form at: </w:t>
            </w:r>
            <w:hyperlink r:id="rId13" w:history="1">
              <w:r w:rsidRPr="00166C0B">
                <w:rPr>
                  <w:rStyle w:val="Hyperlink"/>
                  <w:lang w:val="en-US" w:eastAsia="en-US"/>
                </w:rPr>
                <w:t>www.isbe.net/documents/33-77_waiver_application.pdf</w:t>
              </w:r>
            </w:hyperlink>
          </w:p>
        </w:tc>
      </w:tr>
      <w:tr w:rsidR="001D334B" w14:paraId="02F323C7" w14:textId="77777777" w:rsidTr="00AC160D">
        <w:trPr>
          <w:jc w:val="center"/>
        </w:trPr>
        <w:tc>
          <w:tcPr>
            <w:tcW w:w="3616" w:type="dxa"/>
            <w:tcBorders>
              <w:top w:val="single" w:sz="6" w:space="0" w:color="auto"/>
              <w:left w:val="single" w:sz="6" w:space="0" w:color="auto"/>
              <w:bottom w:val="single" w:sz="6" w:space="0" w:color="auto"/>
              <w:right w:val="single" w:sz="6" w:space="0" w:color="auto"/>
            </w:tcBorders>
          </w:tcPr>
          <w:p w14:paraId="3991C882" w14:textId="77777777" w:rsidR="001D334B" w:rsidRPr="00166C0B" w:rsidRDefault="001D334B" w:rsidP="00AC160D">
            <w:pPr>
              <w:pStyle w:val="BodyText"/>
              <w:jc w:val="left"/>
              <w:rPr>
                <w:lang w:val="en-US" w:eastAsia="en-US"/>
              </w:rPr>
            </w:pPr>
            <w:r w:rsidRPr="00166C0B">
              <w:rPr>
                <w:lang w:val="en-US" w:eastAsia="en-US"/>
              </w:rPr>
              <w:lastRenderedPageBreak/>
              <w:t>Physical Education, 105 ILCS 5/27-6, amended by P.A. 100-465.</w:t>
            </w:r>
          </w:p>
          <w:p w14:paraId="28C5FC9E" w14:textId="77777777" w:rsidR="001D334B" w:rsidRPr="00166C0B" w:rsidRDefault="001D334B" w:rsidP="00AC160D">
            <w:pPr>
              <w:pStyle w:val="BodyText"/>
              <w:jc w:val="left"/>
              <w:rPr>
                <w:lang w:val="en-US" w:eastAsia="en-US"/>
              </w:rPr>
            </w:pPr>
            <w:r w:rsidRPr="00166C0B">
              <w:rPr>
                <w:lang w:val="en-US" w:eastAsia="en-US"/>
              </w:rPr>
              <w:t>Driver Education, 105 ILCS 5/24.2 and 105 ILCS 5/2-3.25g, amended by P.A. 100-465.</w:t>
            </w:r>
          </w:p>
          <w:p w14:paraId="4E79079F" w14:textId="77777777" w:rsidR="001D334B" w:rsidRPr="00166C0B" w:rsidRDefault="001D334B" w:rsidP="00AC160D">
            <w:pPr>
              <w:pStyle w:val="BodyText"/>
              <w:jc w:val="left"/>
              <w:rPr>
                <w:lang w:val="en-US" w:eastAsia="en-US"/>
              </w:rPr>
            </w:pPr>
          </w:p>
        </w:tc>
        <w:tc>
          <w:tcPr>
            <w:tcW w:w="5415" w:type="dxa"/>
            <w:tcBorders>
              <w:top w:val="single" w:sz="6" w:space="0" w:color="auto"/>
              <w:left w:val="single" w:sz="6" w:space="0" w:color="auto"/>
              <w:bottom w:val="single" w:sz="6" w:space="0" w:color="auto"/>
              <w:right w:val="single" w:sz="6" w:space="0" w:color="auto"/>
            </w:tcBorders>
          </w:tcPr>
          <w:p w14:paraId="142650E1" w14:textId="77777777" w:rsidR="001D334B" w:rsidRPr="00166C0B" w:rsidRDefault="001D334B" w:rsidP="00AC160D">
            <w:pPr>
              <w:pStyle w:val="BodyText"/>
              <w:jc w:val="left"/>
              <w:rPr>
                <w:b/>
                <w:lang w:val="en-US" w:eastAsia="en-US"/>
              </w:rPr>
            </w:pPr>
            <w:r w:rsidRPr="00166C0B">
              <w:rPr>
                <w:b/>
                <w:lang w:val="en-US" w:eastAsia="en-US"/>
              </w:rPr>
              <w:t>Explanation</w:t>
            </w:r>
          </w:p>
          <w:p w14:paraId="1CF993B8" w14:textId="77777777" w:rsidR="001D334B" w:rsidRPr="00C01019" w:rsidRDefault="001D334B" w:rsidP="00AC160D">
            <w:pPr>
              <w:spacing w:before="60" w:after="60"/>
            </w:pPr>
            <w:r w:rsidRPr="004B47D4">
              <w:t xml:space="preserve">See the </w:t>
            </w:r>
            <w:r w:rsidRPr="004B47D4">
              <w:rPr>
                <w:i/>
              </w:rPr>
              <w:t>Explanation</w:t>
            </w:r>
            <w:r w:rsidRPr="004B47D4">
              <w:rPr>
                <w:b/>
              </w:rPr>
              <w:t xml:space="preserve"> </w:t>
            </w:r>
            <w:r w:rsidRPr="004B47D4">
              <w:t>section in the row above.</w:t>
            </w:r>
          </w:p>
          <w:p w14:paraId="2DA4B45D" w14:textId="77777777" w:rsidR="001D334B" w:rsidRPr="00166C0B" w:rsidRDefault="001D334B" w:rsidP="00AC160D">
            <w:pPr>
              <w:pStyle w:val="BodyText"/>
              <w:spacing w:after="0"/>
              <w:jc w:val="left"/>
              <w:rPr>
                <w:b/>
                <w:lang w:val="en-US" w:eastAsia="en-US"/>
              </w:rPr>
            </w:pPr>
            <w:r w:rsidRPr="00166C0B">
              <w:rPr>
                <w:b/>
                <w:lang w:val="en-US" w:eastAsia="en-US"/>
              </w:rPr>
              <w:t>Special Considerations</w:t>
            </w:r>
          </w:p>
          <w:p w14:paraId="22A8284E" w14:textId="77777777" w:rsidR="001D334B" w:rsidRDefault="001D334B" w:rsidP="00AC160D">
            <w:pPr>
              <w:spacing w:before="60" w:after="60"/>
            </w:pPr>
            <w:r>
              <w:t xml:space="preserve">In addition to the </w:t>
            </w:r>
            <w:r w:rsidRPr="00C01019">
              <w:rPr>
                <w:i/>
              </w:rPr>
              <w:t>Explanation</w:t>
            </w:r>
            <w:r>
              <w:t xml:space="preserve"> section above:</w:t>
            </w:r>
          </w:p>
          <w:p w14:paraId="281F0DFB" w14:textId="77777777" w:rsidR="001D334B" w:rsidRPr="00166C0B" w:rsidRDefault="001D334B" w:rsidP="001D334B">
            <w:pPr>
              <w:pStyle w:val="ListNumber"/>
              <w:numPr>
                <w:ilvl w:val="0"/>
                <w:numId w:val="2"/>
              </w:numPr>
              <w:spacing w:before="60" w:after="60"/>
              <w:jc w:val="left"/>
              <w:rPr>
                <w:lang w:val="en-US" w:eastAsia="en-US"/>
              </w:rPr>
            </w:pPr>
            <w:r w:rsidRPr="00166C0B">
              <w:rPr>
                <w:b/>
                <w:lang w:val="en-US" w:eastAsia="en-US"/>
              </w:rPr>
              <w:t>Physical education</w:t>
            </w:r>
            <w:r w:rsidRPr="00166C0B">
              <w:rPr>
                <w:lang w:val="en-US" w:eastAsia="en-US"/>
              </w:rPr>
              <w:t xml:space="preserve"> is managed as a </w:t>
            </w:r>
            <w:r w:rsidRPr="00166C0B">
              <w:rPr>
                <w:i/>
                <w:lang w:val="en-US" w:eastAsia="en-US"/>
              </w:rPr>
              <w:t xml:space="preserve">waiver </w:t>
            </w:r>
            <w:r w:rsidRPr="00166C0B">
              <w:rPr>
                <w:lang w:val="en-US" w:eastAsia="en-US"/>
              </w:rPr>
              <w:t xml:space="preserve">of School Code mandates discussed in the </w:t>
            </w:r>
            <w:r w:rsidRPr="00166C0B">
              <w:rPr>
                <w:i/>
                <w:lang w:val="en-US" w:eastAsia="en-US"/>
              </w:rPr>
              <w:t>Explanation</w:t>
            </w:r>
            <w:r w:rsidRPr="00166C0B">
              <w:rPr>
                <w:lang w:val="en-US" w:eastAsia="en-US"/>
              </w:rPr>
              <w:t xml:space="preserve"> section above. A waiver of this School Code mandate may be in effect for up to five years. Recent legislative changes removed any cap applicable to renewal of waivers related to physical education.</w:t>
            </w:r>
          </w:p>
          <w:p w14:paraId="4A682143" w14:textId="77777777" w:rsidR="001D334B" w:rsidRPr="00166C0B" w:rsidRDefault="001D334B" w:rsidP="001D334B">
            <w:pPr>
              <w:pStyle w:val="ListNumber"/>
              <w:numPr>
                <w:ilvl w:val="0"/>
                <w:numId w:val="2"/>
              </w:numPr>
              <w:spacing w:before="60" w:after="60"/>
              <w:jc w:val="left"/>
              <w:rPr>
                <w:lang w:val="en-US" w:eastAsia="en-US"/>
              </w:rPr>
            </w:pPr>
            <w:r w:rsidRPr="00166C0B">
              <w:rPr>
                <w:b/>
                <w:lang w:val="en-US" w:eastAsia="en-US"/>
              </w:rPr>
              <w:t>Driver education fee increases</w:t>
            </w:r>
            <w:r w:rsidRPr="00166C0B">
              <w:rPr>
                <w:lang w:val="en-US" w:eastAsia="en-US"/>
              </w:rPr>
              <w:t xml:space="preserve"> require the District to include the proposed amount of the fee increase: (a) in the public notice; and (b) on the District’s website. 105 ILCS 5/2-3.25g(c-5). </w:t>
            </w:r>
            <w:r w:rsidRPr="00166C0B">
              <w:rPr>
                <w:b/>
                <w:lang w:val="en-US" w:eastAsia="en-US"/>
              </w:rPr>
              <w:t>Note:</w:t>
            </w:r>
            <w:r w:rsidRPr="00166C0B">
              <w:rPr>
                <w:lang w:val="en-US" w:eastAsia="en-US"/>
              </w:rPr>
              <w:t xml:space="preserve"> For a sample school district resolution to increase driver education fees, see 4:140-E3, </w:t>
            </w:r>
            <w:r w:rsidRPr="00166C0B">
              <w:rPr>
                <w:i/>
                <w:lang w:val="en-US" w:eastAsia="en-US"/>
              </w:rPr>
              <w:t>Resolution to Increase Driver Education Fees</w:t>
            </w:r>
            <w:r w:rsidRPr="00166C0B">
              <w:rPr>
                <w:lang w:val="en-US" w:eastAsia="en-US"/>
              </w:rPr>
              <w:t>.</w:t>
            </w:r>
          </w:p>
          <w:p w14:paraId="17D0E155" w14:textId="77777777" w:rsidR="001D334B" w:rsidRPr="00166C0B" w:rsidRDefault="001D334B" w:rsidP="00AC160D">
            <w:pPr>
              <w:pStyle w:val="ListNumber"/>
              <w:spacing w:before="60" w:after="60"/>
              <w:ind w:left="0" w:firstLine="0"/>
              <w:jc w:val="left"/>
              <w:rPr>
                <w:b/>
                <w:lang w:val="en-US" w:eastAsia="en-US"/>
              </w:rPr>
            </w:pPr>
            <w:r w:rsidRPr="00166C0B">
              <w:rPr>
                <w:b/>
                <w:lang w:val="en-US" w:eastAsia="en-US"/>
              </w:rPr>
              <w:t>Resources</w:t>
            </w:r>
          </w:p>
          <w:p w14:paraId="43613320" w14:textId="77777777" w:rsidR="001D334B" w:rsidRPr="00166C0B" w:rsidRDefault="001D334B" w:rsidP="00AC160D">
            <w:pPr>
              <w:pStyle w:val="BodyText"/>
              <w:jc w:val="left"/>
              <w:rPr>
                <w:lang w:val="en-US" w:eastAsia="en-US"/>
              </w:rPr>
            </w:pPr>
            <w:r w:rsidRPr="00166C0B">
              <w:rPr>
                <w:lang w:val="en-US" w:eastAsia="en-US"/>
              </w:rPr>
              <w:t xml:space="preserve">See the </w:t>
            </w:r>
            <w:r w:rsidRPr="00166C0B">
              <w:rPr>
                <w:i/>
                <w:lang w:val="en-US" w:eastAsia="en-US"/>
              </w:rPr>
              <w:t>Resources</w:t>
            </w:r>
            <w:r w:rsidRPr="00166C0B">
              <w:rPr>
                <w:b/>
                <w:lang w:val="en-US" w:eastAsia="en-US"/>
              </w:rPr>
              <w:t xml:space="preserve"> </w:t>
            </w:r>
            <w:r w:rsidRPr="00166C0B">
              <w:rPr>
                <w:lang w:val="en-US" w:eastAsia="en-US"/>
              </w:rPr>
              <w:t>section in the row above.</w:t>
            </w:r>
          </w:p>
        </w:tc>
      </w:tr>
      <w:tr w:rsidR="001D334B" w14:paraId="668421A0" w14:textId="77777777" w:rsidTr="00AC160D">
        <w:trPr>
          <w:jc w:val="center"/>
        </w:trPr>
        <w:tc>
          <w:tcPr>
            <w:tcW w:w="3616" w:type="dxa"/>
            <w:tcBorders>
              <w:top w:val="single" w:sz="6" w:space="0" w:color="auto"/>
              <w:left w:val="single" w:sz="6" w:space="0" w:color="auto"/>
              <w:bottom w:val="single" w:sz="6" w:space="0" w:color="auto"/>
              <w:right w:val="single" w:sz="6" w:space="0" w:color="auto"/>
            </w:tcBorders>
          </w:tcPr>
          <w:p w14:paraId="44B031E7" w14:textId="77777777" w:rsidR="001D334B" w:rsidRPr="00166C0B" w:rsidRDefault="001D334B" w:rsidP="00AC160D">
            <w:pPr>
              <w:pStyle w:val="BodyText"/>
              <w:jc w:val="left"/>
              <w:rPr>
                <w:lang w:val="en-US" w:eastAsia="en-US"/>
              </w:rPr>
            </w:pPr>
            <w:r w:rsidRPr="00166C0B">
              <w:rPr>
                <w:lang w:val="en-US" w:eastAsia="en-US"/>
              </w:rPr>
              <w:t>Holidays, 105 ILCS 5/24-2(b).</w:t>
            </w:r>
          </w:p>
        </w:tc>
        <w:tc>
          <w:tcPr>
            <w:tcW w:w="5415" w:type="dxa"/>
            <w:tcBorders>
              <w:top w:val="single" w:sz="6" w:space="0" w:color="auto"/>
              <w:left w:val="single" w:sz="6" w:space="0" w:color="auto"/>
              <w:bottom w:val="single" w:sz="6" w:space="0" w:color="auto"/>
              <w:right w:val="single" w:sz="6" w:space="0" w:color="auto"/>
            </w:tcBorders>
          </w:tcPr>
          <w:p w14:paraId="367755FE" w14:textId="77777777" w:rsidR="001D334B" w:rsidRPr="00166C0B" w:rsidRDefault="001D334B" w:rsidP="00AC160D">
            <w:pPr>
              <w:pStyle w:val="BodyText"/>
              <w:spacing w:before="40" w:after="40"/>
              <w:jc w:val="left"/>
              <w:rPr>
                <w:b/>
                <w:lang w:val="en-US" w:eastAsia="en-US"/>
              </w:rPr>
            </w:pPr>
            <w:r w:rsidRPr="00166C0B">
              <w:rPr>
                <w:b/>
                <w:lang w:val="en-US" w:eastAsia="en-US"/>
              </w:rPr>
              <w:t>Explanation</w:t>
            </w:r>
          </w:p>
          <w:p w14:paraId="1B2AD169" w14:textId="77777777" w:rsidR="001D334B" w:rsidRPr="00166C0B" w:rsidRDefault="001D334B" w:rsidP="00AC160D">
            <w:pPr>
              <w:pStyle w:val="BodyText"/>
              <w:spacing w:before="40" w:after="40"/>
              <w:jc w:val="left"/>
              <w:rPr>
                <w:lang w:val="en-US" w:eastAsia="en-US"/>
              </w:rPr>
            </w:pPr>
            <w:r w:rsidRPr="00166C0B">
              <w:rPr>
                <w:lang w:val="en-US" w:eastAsia="en-US"/>
              </w:rPr>
              <w:t>Allows the District to hold school or schedule teachers’ institutes, parent-teacher conferences, or staff development on certain holidays without submitting a modification request to and obtaining approval from ISBE.</w:t>
            </w:r>
          </w:p>
          <w:p w14:paraId="54B05E58" w14:textId="77777777" w:rsidR="001D334B" w:rsidRPr="00166C0B" w:rsidRDefault="001D334B" w:rsidP="00AC160D">
            <w:pPr>
              <w:pStyle w:val="BodyText"/>
              <w:spacing w:before="40" w:after="40"/>
              <w:jc w:val="left"/>
              <w:rPr>
                <w:lang w:val="en-US" w:eastAsia="en-US"/>
              </w:rPr>
            </w:pPr>
            <w:r w:rsidRPr="00166C0B">
              <w:rPr>
                <w:lang w:val="en-US" w:eastAsia="en-US"/>
              </w:rPr>
              <w:t>After a public hearing, the District may hold school or schedule teachers’ institutes, parent-teacher conferences, or staff development on:</w:t>
            </w:r>
          </w:p>
          <w:p w14:paraId="0D202E76" w14:textId="77777777" w:rsidR="001D334B" w:rsidRPr="00166C0B" w:rsidRDefault="001D334B" w:rsidP="001D334B">
            <w:pPr>
              <w:pStyle w:val="ListNumber"/>
              <w:numPr>
                <w:ilvl w:val="0"/>
                <w:numId w:val="3"/>
              </w:numPr>
              <w:spacing w:before="60" w:after="60"/>
              <w:jc w:val="left"/>
              <w:rPr>
                <w:lang w:val="en-US" w:eastAsia="en-US"/>
              </w:rPr>
            </w:pPr>
            <w:r w:rsidRPr="00166C0B">
              <w:rPr>
                <w:lang w:val="en-US" w:eastAsia="en-US"/>
              </w:rPr>
              <w:t>The third Monday in January (Dr. Martin Luther King, Jr.’s Birthday);</w:t>
            </w:r>
          </w:p>
          <w:p w14:paraId="26A32C33" w14:textId="77777777" w:rsidR="001D334B" w:rsidRPr="00166C0B" w:rsidRDefault="001D334B" w:rsidP="001D334B">
            <w:pPr>
              <w:pStyle w:val="ListNumber"/>
              <w:numPr>
                <w:ilvl w:val="0"/>
                <w:numId w:val="3"/>
              </w:numPr>
              <w:spacing w:before="60" w:after="60"/>
              <w:jc w:val="left"/>
              <w:rPr>
                <w:lang w:val="en-US" w:eastAsia="en-US"/>
              </w:rPr>
            </w:pPr>
            <w:r w:rsidRPr="00166C0B">
              <w:rPr>
                <w:lang w:val="en-US" w:eastAsia="en-US"/>
              </w:rPr>
              <w:t>February 12 (President Abraham Lincoln’s Birthday);</w:t>
            </w:r>
          </w:p>
          <w:p w14:paraId="5CE3775E" w14:textId="77777777" w:rsidR="001D334B" w:rsidRPr="00166C0B" w:rsidRDefault="001D334B" w:rsidP="001D334B">
            <w:pPr>
              <w:pStyle w:val="ListNumber"/>
              <w:numPr>
                <w:ilvl w:val="0"/>
                <w:numId w:val="3"/>
              </w:numPr>
              <w:spacing w:before="60" w:after="60"/>
              <w:jc w:val="left"/>
              <w:rPr>
                <w:lang w:val="en-US" w:eastAsia="en-US"/>
              </w:rPr>
            </w:pPr>
            <w:r w:rsidRPr="00166C0B">
              <w:rPr>
                <w:lang w:val="en-US" w:eastAsia="en-US"/>
              </w:rPr>
              <w:t>The first Monday in March (Casimir Pulaski Day);</w:t>
            </w:r>
          </w:p>
          <w:p w14:paraId="1D673EFF" w14:textId="77777777" w:rsidR="001D334B" w:rsidRPr="00166C0B" w:rsidRDefault="001D334B" w:rsidP="001D334B">
            <w:pPr>
              <w:pStyle w:val="ListNumber"/>
              <w:numPr>
                <w:ilvl w:val="0"/>
                <w:numId w:val="3"/>
              </w:numPr>
              <w:spacing w:before="60" w:after="60"/>
              <w:jc w:val="left"/>
              <w:rPr>
                <w:lang w:val="en-US" w:eastAsia="en-US"/>
              </w:rPr>
            </w:pPr>
            <w:r w:rsidRPr="00166C0B">
              <w:rPr>
                <w:lang w:val="en-US" w:eastAsia="en-US"/>
              </w:rPr>
              <w:lastRenderedPageBreak/>
              <w:t>The second Monday in October (Columbus Day); and/or</w:t>
            </w:r>
          </w:p>
          <w:p w14:paraId="1CE87B0E" w14:textId="77777777" w:rsidR="001D334B" w:rsidRPr="00166C0B" w:rsidRDefault="001D334B" w:rsidP="001D334B">
            <w:pPr>
              <w:pStyle w:val="ListNumber"/>
              <w:numPr>
                <w:ilvl w:val="0"/>
                <w:numId w:val="3"/>
              </w:numPr>
              <w:spacing w:before="60" w:after="60"/>
              <w:jc w:val="left"/>
              <w:rPr>
                <w:lang w:val="en-US" w:eastAsia="en-US"/>
              </w:rPr>
            </w:pPr>
            <w:r w:rsidRPr="00166C0B">
              <w:rPr>
                <w:lang w:val="en-US" w:eastAsia="en-US"/>
              </w:rPr>
              <w:t>November 11 (Veterans Day).</w:t>
            </w:r>
          </w:p>
          <w:p w14:paraId="1DC58754" w14:textId="77777777" w:rsidR="001D334B" w:rsidRPr="00166C0B" w:rsidRDefault="001D334B" w:rsidP="00AC160D">
            <w:pPr>
              <w:pStyle w:val="BodyText"/>
              <w:spacing w:before="40" w:after="0"/>
              <w:jc w:val="left"/>
              <w:rPr>
                <w:b/>
                <w:lang w:val="en-US" w:eastAsia="en-US"/>
              </w:rPr>
            </w:pPr>
            <w:r w:rsidRPr="00166C0B">
              <w:rPr>
                <w:b/>
                <w:lang w:val="en-US" w:eastAsia="en-US"/>
              </w:rPr>
              <w:t>Special Considerations</w:t>
            </w:r>
          </w:p>
          <w:p w14:paraId="3DE560AE" w14:textId="77777777" w:rsidR="001D334B" w:rsidRPr="00166C0B" w:rsidRDefault="001D334B" w:rsidP="00AC160D">
            <w:pPr>
              <w:pStyle w:val="BodyText"/>
              <w:spacing w:before="40" w:after="40"/>
              <w:jc w:val="left"/>
              <w:rPr>
                <w:lang w:val="en-US" w:eastAsia="en-US"/>
              </w:rPr>
            </w:pPr>
            <w:r w:rsidRPr="00166C0B">
              <w:rPr>
                <w:lang w:val="en-US" w:eastAsia="en-US"/>
              </w:rPr>
              <w:t>The Board must provide notice before the public hearing to both educators and parents/guardians with: (1) the time, date, and place of the hearing; (2) a description of the proposal; and (3) information that testimony from educators and parents/guardians will be taken about the proposal during the hearing.</w:t>
            </w:r>
          </w:p>
          <w:p w14:paraId="23BAD1C6" w14:textId="77777777" w:rsidR="001D334B" w:rsidRPr="00166C0B" w:rsidRDefault="001D334B" w:rsidP="00AC160D">
            <w:pPr>
              <w:pStyle w:val="BodyText"/>
              <w:spacing w:before="40" w:after="40"/>
              <w:jc w:val="left"/>
              <w:rPr>
                <w:lang w:val="en-US" w:eastAsia="en-US"/>
              </w:rPr>
            </w:pPr>
            <w:r w:rsidRPr="00166C0B">
              <w:rPr>
                <w:lang w:val="en-US" w:eastAsia="en-US"/>
              </w:rPr>
              <w:t xml:space="preserve">The District must prepare a proposal for recognizing the person(s) honored by the holiday through instructional activities conducted on that day or, if the day is not used for student attendance, on the first school day preceding or following that day. The District may also consider aligning the proposal with Board policies 5:200, </w:t>
            </w:r>
            <w:r w:rsidRPr="00166C0B">
              <w:rPr>
                <w:i/>
                <w:lang w:val="en-US" w:eastAsia="en-US"/>
              </w:rPr>
              <w:t>Terms and Conditions of Employment and Dismissal</w:t>
            </w:r>
            <w:r w:rsidRPr="00166C0B">
              <w:rPr>
                <w:lang w:val="en-US" w:eastAsia="en-US"/>
              </w:rPr>
              <w:t xml:space="preserve">; 5:330, </w:t>
            </w:r>
            <w:r w:rsidRPr="00166C0B">
              <w:rPr>
                <w:i/>
                <w:lang w:val="en-US" w:eastAsia="en-US"/>
              </w:rPr>
              <w:t>Sick Days, Vacation, Holidays, and Leaves</w:t>
            </w:r>
            <w:r w:rsidRPr="00166C0B">
              <w:rPr>
                <w:lang w:val="en-US" w:eastAsia="en-US"/>
              </w:rPr>
              <w:t xml:space="preserve">; and 6:20, </w:t>
            </w:r>
            <w:r w:rsidRPr="00166C0B">
              <w:rPr>
                <w:i/>
                <w:lang w:val="en-US" w:eastAsia="en-US"/>
              </w:rPr>
              <w:t>School Year Calendar and Day</w:t>
            </w:r>
            <w:r w:rsidRPr="00166C0B">
              <w:rPr>
                <w:lang w:val="en-US" w:eastAsia="en-US"/>
              </w:rPr>
              <w:t>.</w:t>
            </w:r>
          </w:p>
          <w:p w14:paraId="510E553F" w14:textId="77777777" w:rsidR="001D334B" w:rsidRPr="00166C0B" w:rsidRDefault="001D334B" w:rsidP="00AC160D">
            <w:pPr>
              <w:pStyle w:val="BodyText"/>
              <w:spacing w:before="40" w:after="40"/>
              <w:jc w:val="left"/>
              <w:rPr>
                <w:b/>
                <w:lang w:val="en-US" w:eastAsia="en-US"/>
              </w:rPr>
            </w:pPr>
            <w:r w:rsidRPr="00166C0B">
              <w:rPr>
                <w:b/>
                <w:lang w:val="en-US" w:eastAsia="en-US"/>
              </w:rPr>
              <w:t>Resources</w:t>
            </w:r>
          </w:p>
          <w:p w14:paraId="2DE93432" w14:textId="77777777" w:rsidR="001D334B" w:rsidRPr="00166C0B" w:rsidRDefault="001D334B" w:rsidP="00AC160D">
            <w:pPr>
              <w:pStyle w:val="BodyText"/>
              <w:spacing w:before="40"/>
              <w:jc w:val="left"/>
              <w:rPr>
                <w:lang w:val="en-US" w:eastAsia="en-US"/>
              </w:rPr>
            </w:pPr>
            <w:r w:rsidRPr="00166C0B">
              <w:rPr>
                <w:lang w:val="en-US" w:eastAsia="en-US"/>
              </w:rPr>
              <w:t xml:space="preserve">See the tab labeled </w:t>
            </w:r>
            <w:r w:rsidRPr="00166C0B">
              <w:rPr>
                <w:i/>
                <w:iCs/>
                <w:lang w:val="en-US" w:eastAsia="en-US"/>
              </w:rPr>
              <w:t>Waivers and modifications no longer needed for legal school holiday requests, most parent-teacher conference schedules</w:t>
            </w:r>
            <w:r w:rsidRPr="00166C0B">
              <w:rPr>
                <w:lang w:val="en-US" w:eastAsia="en-US"/>
              </w:rPr>
              <w:t xml:space="preserve"> on ISBE’s website at: </w:t>
            </w:r>
            <w:hyperlink r:id="rId14" w:history="1">
              <w:r w:rsidRPr="00166C0B">
                <w:rPr>
                  <w:rStyle w:val="Hyperlink"/>
                  <w:lang w:val="en-US" w:eastAsia="en-US"/>
                </w:rPr>
                <w:t>www.isbe.net/Pages/Modifications-of-the-School-Codes-and-Rules-of-the-State-Board.aspx</w:t>
              </w:r>
            </w:hyperlink>
            <w:r w:rsidRPr="00166C0B">
              <w:rPr>
                <w:lang w:val="en-US" w:eastAsia="en-US"/>
              </w:rPr>
              <w:t>.</w:t>
            </w:r>
          </w:p>
        </w:tc>
      </w:tr>
      <w:tr w:rsidR="001D334B" w14:paraId="5694DEF8" w14:textId="77777777" w:rsidTr="00AC160D">
        <w:trPr>
          <w:jc w:val="center"/>
        </w:trPr>
        <w:tc>
          <w:tcPr>
            <w:tcW w:w="3616" w:type="dxa"/>
            <w:tcBorders>
              <w:top w:val="single" w:sz="6" w:space="0" w:color="auto"/>
              <w:left w:val="single" w:sz="6" w:space="0" w:color="auto"/>
              <w:bottom w:val="single" w:sz="6" w:space="0" w:color="auto"/>
              <w:right w:val="single" w:sz="6" w:space="0" w:color="auto"/>
            </w:tcBorders>
          </w:tcPr>
          <w:p w14:paraId="760AF18E" w14:textId="77777777" w:rsidR="001D334B" w:rsidRPr="00166C0B" w:rsidRDefault="001D334B" w:rsidP="00AC160D">
            <w:pPr>
              <w:pStyle w:val="BodyText"/>
              <w:spacing w:before="40" w:after="40"/>
              <w:jc w:val="left"/>
              <w:rPr>
                <w:lang w:val="en-US" w:eastAsia="en-US"/>
              </w:rPr>
            </w:pPr>
            <w:r w:rsidRPr="00166C0B">
              <w:rPr>
                <w:lang w:val="en-US" w:eastAsia="en-US"/>
              </w:rPr>
              <w:lastRenderedPageBreak/>
              <w:t>Parent-Teacher Conferences (Attendance Calculation), 105 ILCS 5/10-19.05(d), added by P.A. 101-12.</w:t>
            </w:r>
          </w:p>
        </w:tc>
        <w:tc>
          <w:tcPr>
            <w:tcW w:w="5415" w:type="dxa"/>
            <w:tcBorders>
              <w:top w:val="single" w:sz="6" w:space="0" w:color="auto"/>
              <w:left w:val="single" w:sz="6" w:space="0" w:color="auto"/>
              <w:bottom w:val="single" w:sz="6" w:space="0" w:color="auto"/>
              <w:right w:val="single" w:sz="6" w:space="0" w:color="auto"/>
            </w:tcBorders>
          </w:tcPr>
          <w:p w14:paraId="1CE1CD26" w14:textId="77777777" w:rsidR="001D334B" w:rsidRPr="00166C0B" w:rsidRDefault="001D334B" w:rsidP="00AC160D">
            <w:pPr>
              <w:pStyle w:val="BodyText"/>
              <w:spacing w:before="40" w:after="40"/>
              <w:jc w:val="left"/>
              <w:rPr>
                <w:lang w:val="en-US" w:eastAsia="en-US"/>
              </w:rPr>
            </w:pPr>
            <w:r w:rsidRPr="00166C0B">
              <w:rPr>
                <w:lang w:val="en-US" w:eastAsia="en-US"/>
              </w:rPr>
              <w:t>The District is allowed to count a parent-teacher conference as a full day of attendance under any of the following configurations:</w:t>
            </w:r>
          </w:p>
          <w:p w14:paraId="1D87E853" w14:textId="77777777" w:rsidR="001D334B" w:rsidRPr="00166C0B" w:rsidRDefault="001D334B" w:rsidP="001D334B">
            <w:pPr>
              <w:pStyle w:val="ListNumber"/>
              <w:numPr>
                <w:ilvl w:val="0"/>
                <w:numId w:val="4"/>
              </w:numPr>
              <w:spacing w:before="60" w:after="60"/>
              <w:jc w:val="left"/>
              <w:rPr>
                <w:lang w:val="en-US" w:eastAsia="en-US"/>
              </w:rPr>
            </w:pPr>
            <w:r w:rsidRPr="00166C0B">
              <w:rPr>
                <w:lang w:val="en-US" w:eastAsia="en-US"/>
              </w:rPr>
              <w:t>A minimum of five clock-hours of parent-teacher conferences;</w:t>
            </w:r>
          </w:p>
          <w:p w14:paraId="01E87081" w14:textId="77777777" w:rsidR="001D334B" w:rsidRPr="00166C0B" w:rsidRDefault="001D334B" w:rsidP="001D334B">
            <w:pPr>
              <w:pStyle w:val="ListNumber"/>
              <w:numPr>
                <w:ilvl w:val="0"/>
                <w:numId w:val="4"/>
              </w:numPr>
              <w:spacing w:before="60" w:after="60"/>
              <w:jc w:val="left"/>
              <w:rPr>
                <w:lang w:val="en-US" w:eastAsia="en-US"/>
              </w:rPr>
            </w:pPr>
            <w:r w:rsidRPr="00166C0B">
              <w:rPr>
                <w:lang w:val="en-US" w:eastAsia="en-US"/>
              </w:rPr>
              <w:t>Both a minimum of two clock-hours of parent-teacher conferences held in the evening following a full day of student attendance, and a minimum of three clock-hours of parent-teacher conferences held on the day immediately following evening parent-teacher conferences; or</w:t>
            </w:r>
          </w:p>
          <w:p w14:paraId="4D30A8C1" w14:textId="77777777" w:rsidR="001D334B" w:rsidRPr="00166C0B" w:rsidRDefault="001D334B" w:rsidP="001D334B">
            <w:pPr>
              <w:pStyle w:val="ListNumber"/>
              <w:numPr>
                <w:ilvl w:val="0"/>
                <w:numId w:val="4"/>
              </w:numPr>
              <w:spacing w:before="60" w:after="60"/>
              <w:jc w:val="left"/>
              <w:rPr>
                <w:lang w:val="en-US" w:eastAsia="en-US"/>
              </w:rPr>
            </w:pPr>
            <w:r w:rsidRPr="00166C0B">
              <w:rPr>
                <w:lang w:val="en-US" w:eastAsia="en-US"/>
              </w:rPr>
              <w:t>Multiple parent-teacher conferences held in the evenings following full days of student attendance, in which the time used for the parent-teacher conferences is equivalent to a minimum of five clock-hours.</w:t>
            </w:r>
          </w:p>
          <w:p w14:paraId="5EC6CE2E" w14:textId="77777777" w:rsidR="001D334B" w:rsidRPr="00166C0B" w:rsidRDefault="001D334B" w:rsidP="00AC160D">
            <w:pPr>
              <w:pStyle w:val="BodyText"/>
              <w:spacing w:before="40" w:after="0"/>
              <w:jc w:val="left"/>
              <w:rPr>
                <w:b/>
                <w:lang w:val="en-US" w:eastAsia="en-US"/>
              </w:rPr>
            </w:pPr>
            <w:r w:rsidRPr="00166C0B">
              <w:rPr>
                <w:b/>
                <w:lang w:val="en-US" w:eastAsia="en-US"/>
              </w:rPr>
              <w:t>Special Considerations</w:t>
            </w:r>
          </w:p>
          <w:p w14:paraId="0BE091EE" w14:textId="77777777" w:rsidR="001D334B" w:rsidRPr="00166C0B" w:rsidRDefault="001D334B" w:rsidP="00AC160D">
            <w:pPr>
              <w:pStyle w:val="BodyText"/>
              <w:spacing w:before="40"/>
              <w:jc w:val="left"/>
              <w:rPr>
                <w:lang w:val="en-US" w:eastAsia="en-US"/>
              </w:rPr>
            </w:pPr>
            <w:r w:rsidRPr="00166C0B">
              <w:rPr>
                <w:lang w:val="en-US" w:eastAsia="en-US"/>
              </w:rPr>
              <w:t>Any other options for counting a parent-teacher conference as a full day of attendance not covered by the language above will require a waiver request to the General Assembly for its consideration.</w:t>
            </w:r>
          </w:p>
          <w:p w14:paraId="414B1B6C" w14:textId="77777777" w:rsidR="001D334B" w:rsidRPr="00166C0B" w:rsidRDefault="001D334B" w:rsidP="00AC160D">
            <w:pPr>
              <w:pStyle w:val="BodyText"/>
              <w:spacing w:before="40"/>
              <w:jc w:val="left"/>
              <w:rPr>
                <w:lang w:val="en-US" w:eastAsia="en-US"/>
              </w:rPr>
            </w:pPr>
            <w:r w:rsidRPr="00166C0B">
              <w:rPr>
                <w:lang w:val="en-US" w:eastAsia="en-US"/>
              </w:rPr>
              <w:lastRenderedPageBreak/>
              <w:t>The above clock-hour requirements do not apply if the Governor declares a disaster due to a public health emergency pursuant to 20 ILCS 3305/7 and the State Superintendent of Education may establish minimum clock-hour requirements under 105 ILCS 5/10-30. 105 ILCS 5/10-19.05(j-5), added by P.A. 101-643.</w:t>
            </w:r>
          </w:p>
          <w:p w14:paraId="7967CE68" w14:textId="77777777" w:rsidR="001D334B" w:rsidRPr="00166C0B" w:rsidRDefault="001D334B" w:rsidP="00AC160D">
            <w:pPr>
              <w:pStyle w:val="BodyText"/>
              <w:spacing w:before="40" w:after="40"/>
              <w:jc w:val="left"/>
              <w:rPr>
                <w:b/>
                <w:lang w:val="en-US" w:eastAsia="en-US"/>
              </w:rPr>
            </w:pPr>
            <w:r w:rsidRPr="00166C0B">
              <w:rPr>
                <w:b/>
                <w:lang w:val="en-US" w:eastAsia="en-US"/>
              </w:rPr>
              <w:t>Resources</w:t>
            </w:r>
          </w:p>
          <w:p w14:paraId="1E665342" w14:textId="77777777" w:rsidR="001D334B" w:rsidRDefault="001D334B" w:rsidP="00AC160D">
            <w:pPr>
              <w:spacing w:before="40" w:after="60"/>
            </w:pPr>
            <w:r w:rsidRPr="00F86100">
              <w:t>See</w:t>
            </w:r>
            <w:r>
              <w:rPr>
                <w:i/>
                <w:iCs/>
              </w:rPr>
              <w:t xml:space="preserve"> </w:t>
            </w:r>
            <w:r>
              <w:rPr>
                <w:iCs/>
              </w:rPr>
              <w:t xml:space="preserve">the tab labeled </w:t>
            </w:r>
            <w:r w:rsidRPr="00011184">
              <w:rPr>
                <w:i/>
                <w:iCs/>
              </w:rPr>
              <w:t>Waivers and modifications no longer needed for legal school holiday requests, most parent-teacher conference schedules</w:t>
            </w:r>
            <w:r>
              <w:t xml:space="preserve"> </w:t>
            </w:r>
            <w:r w:rsidRPr="00F86100">
              <w:t xml:space="preserve">on </w:t>
            </w:r>
            <w:r w:rsidRPr="004B47D4">
              <w:t>ISBE’s website at:</w:t>
            </w:r>
            <w:r w:rsidRPr="00F86100">
              <w:t xml:space="preserve"> </w:t>
            </w:r>
            <w:hyperlink r:id="rId15" w:history="1">
              <w:r w:rsidRPr="00A207C9">
                <w:rPr>
                  <w:rStyle w:val="Hyperlink"/>
                </w:rPr>
                <w:t>www.isbe.net/Pages/Modifications-of-the-School-Codes-and-Rules-of-the-State-Board.aspx</w:t>
              </w:r>
            </w:hyperlink>
            <w:r w:rsidRPr="00F86100">
              <w:t>.</w:t>
            </w:r>
          </w:p>
        </w:tc>
      </w:tr>
    </w:tbl>
    <w:p w14:paraId="283AC1B0" w14:textId="77777777" w:rsidR="001D334B" w:rsidRDefault="001D334B" w:rsidP="001D334B">
      <w:pPr>
        <w:pStyle w:val="BodyText"/>
      </w:pPr>
    </w:p>
    <w:p w14:paraId="08F938B2" w14:textId="77777777" w:rsidR="001D334B" w:rsidRDefault="001D334B"/>
    <w:sectPr w:rsidR="001D334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7F329" w14:textId="77777777" w:rsidR="009F0059" w:rsidRDefault="009F0059" w:rsidP="001D334B">
      <w:r>
        <w:separator/>
      </w:r>
    </w:p>
  </w:endnote>
  <w:endnote w:type="continuationSeparator" w:id="0">
    <w:p w14:paraId="3003681B" w14:textId="77777777" w:rsidR="009F0059" w:rsidRDefault="009F0059" w:rsidP="001D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00000000"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0AC9" w14:textId="77777777" w:rsidR="001D334B" w:rsidRDefault="001D3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DE83" w14:textId="77777777" w:rsidR="001D334B" w:rsidRDefault="001D334B" w:rsidP="001D334B">
    <w:pPr>
      <w:pStyle w:val="Footer"/>
      <w:tabs>
        <w:tab w:val="right" w:pos="9000"/>
      </w:tabs>
    </w:pPr>
  </w:p>
  <w:p w14:paraId="75976B95" w14:textId="0961F528" w:rsidR="001D334B" w:rsidRDefault="001D334B" w:rsidP="001D334B">
    <w:pPr>
      <w:pStyle w:val="Footer"/>
      <w:tabs>
        <w:tab w:val="right" w:pos="9000"/>
      </w:tabs>
    </w:pPr>
    <w:r>
      <w:t>2:20-E</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5</w:t>
    </w:r>
    <w:r>
      <w:fldChar w:fldCharType="end"/>
    </w:r>
  </w:p>
  <w:p w14:paraId="2239C414" w14:textId="77777777" w:rsidR="001D334B" w:rsidRDefault="001D3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2654C" w14:textId="77777777" w:rsidR="001D334B" w:rsidRDefault="001D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B6BF1" w14:textId="77777777" w:rsidR="009F0059" w:rsidRDefault="009F0059" w:rsidP="001D334B">
      <w:r>
        <w:separator/>
      </w:r>
    </w:p>
  </w:footnote>
  <w:footnote w:type="continuationSeparator" w:id="0">
    <w:p w14:paraId="1CF275F0" w14:textId="77777777" w:rsidR="009F0059" w:rsidRDefault="009F0059" w:rsidP="001D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0E824" w14:textId="77777777" w:rsidR="001D334B" w:rsidRDefault="001D3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DA67" w14:textId="77777777" w:rsidR="001D334B" w:rsidRDefault="001D3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4ACA" w14:textId="77777777" w:rsidR="001D334B" w:rsidRDefault="001D3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809"/>
    <w:multiLevelType w:val="hybridMultilevel"/>
    <w:tmpl w:val="DD0EE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7D1F0D"/>
    <w:multiLevelType w:val="hybridMultilevel"/>
    <w:tmpl w:val="DD0EE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D61EF6"/>
    <w:multiLevelType w:val="singleLevel"/>
    <w:tmpl w:val="C1325284"/>
    <w:lvl w:ilvl="0">
      <w:start w:val="1"/>
      <w:numFmt w:val="decimal"/>
      <w:lvlText w:val="%1."/>
      <w:legacy w:legacy="1" w:legacySpace="0" w:legacyIndent="360"/>
      <w:lvlJc w:val="left"/>
      <w:pPr>
        <w:ind w:left="360" w:hanging="360"/>
      </w:pPr>
    </w:lvl>
  </w:abstractNum>
  <w:abstractNum w:abstractNumId="3" w15:restartNumberingAfterBreak="0">
    <w:nsid w:val="52681A57"/>
    <w:multiLevelType w:val="singleLevel"/>
    <w:tmpl w:val="C1325284"/>
    <w:lvl w:ilvl="0">
      <w:start w:val="1"/>
      <w:numFmt w:val="decimal"/>
      <w:lvlText w:val="%1."/>
      <w:legacy w:legacy="1" w:legacySpace="0" w:legacyIndent="360"/>
      <w:lvlJc w:val="left"/>
      <w:pPr>
        <w:ind w:left="360" w:hanging="360"/>
      </w:pPr>
    </w:lvl>
  </w:abstractNum>
  <w:abstractNum w:abstractNumId="4" w15:restartNumberingAfterBreak="0">
    <w:nsid w:val="5ED4283D"/>
    <w:multiLevelType w:val="singleLevel"/>
    <w:tmpl w:val="C1325284"/>
    <w:lvl w:ilvl="0">
      <w:start w:val="1"/>
      <w:numFmt w:val="decimal"/>
      <w:lvlText w:val="%1."/>
      <w:legacy w:legacy="1" w:legacySpace="0" w:legacyIndent="360"/>
      <w:lvlJc w:val="left"/>
      <w:pPr>
        <w:ind w:left="360" w:hanging="360"/>
      </w:pPr>
    </w:lvl>
  </w:abstractNum>
  <w:abstractNum w:abstractNumId="5" w15:restartNumberingAfterBreak="0">
    <w:nsid w:val="614843ED"/>
    <w:multiLevelType w:val="singleLevel"/>
    <w:tmpl w:val="C1325284"/>
    <w:lvl w:ilvl="0">
      <w:start w:val="1"/>
      <w:numFmt w:val="decimal"/>
      <w:lvlText w:val="%1."/>
      <w:legacy w:legacy="1" w:legacySpace="0" w:legacyIndent="360"/>
      <w:lvlJc w:val="left"/>
      <w:pPr>
        <w:ind w:left="360" w:hanging="36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4B"/>
    <w:rsid w:val="001D334B"/>
    <w:rsid w:val="009F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521D"/>
  <w15:chartTrackingRefBased/>
  <w15:docId w15:val="{4B92A0A4-A522-B64A-8FEE-E7351544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4B"/>
    <w:pPr>
      <w:overflowPunct w:val="0"/>
      <w:autoSpaceDE w:val="0"/>
      <w:autoSpaceDN w:val="0"/>
      <w:adjustRightInd w:val="0"/>
      <w:textAlignment w:val="baseline"/>
    </w:pPr>
    <w:rPr>
      <w:rFonts w:ascii="Times New Roman" w:eastAsia="Times New Roman" w:hAnsi="Times New Roman" w:cs="Times New Roman"/>
      <w:kern w:val="28"/>
      <w:sz w:val="22"/>
      <w:szCs w:val="20"/>
    </w:rPr>
  </w:style>
  <w:style w:type="paragraph" w:styleId="Heading1">
    <w:name w:val="heading 1"/>
    <w:basedOn w:val="Normal"/>
    <w:next w:val="Normal"/>
    <w:link w:val="Heading1Char"/>
    <w:qFormat/>
    <w:rsid w:val="001D334B"/>
    <w:pPr>
      <w:keepNext/>
      <w:spacing w:before="120" w:after="120"/>
      <w:jc w:val="center"/>
      <w:outlineLvl w:val="0"/>
    </w:pPr>
    <w:rPr>
      <w:rFonts w:ascii="Arial" w:hAnsi="Arial"/>
      <w:b/>
      <w:sz w:val="28"/>
      <w:u w:val="single"/>
      <w:lang w:val="x-none" w:eastAsia="x-none"/>
    </w:rPr>
  </w:style>
  <w:style w:type="paragraph" w:styleId="Heading2">
    <w:name w:val="heading 2"/>
    <w:basedOn w:val="Normal"/>
    <w:next w:val="BodyText"/>
    <w:link w:val="Heading2Char"/>
    <w:qFormat/>
    <w:rsid w:val="001D334B"/>
    <w:pPr>
      <w:keepNext/>
      <w:spacing w:before="120" w:after="120"/>
      <w:outlineLvl w:val="1"/>
    </w:pPr>
    <w:rPr>
      <w:rFonts w:ascii="Arial" w:hAnsi="Arial"/>
      <w:b/>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34B"/>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1D334B"/>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1D334B"/>
    <w:pPr>
      <w:spacing w:before="60" w:after="60"/>
      <w:jc w:val="both"/>
    </w:pPr>
    <w:rPr>
      <w:lang w:val="x-none" w:eastAsia="x-none"/>
    </w:rPr>
  </w:style>
  <w:style w:type="character" w:customStyle="1" w:styleId="BodyTextChar">
    <w:name w:val="Body Text Char"/>
    <w:basedOn w:val="DefaultParagraphFont"/>
    <w:link w:val="BodyText"/>
    <w:rsid w:val="001D334B"/>
    <w:rPr>
      <w:rFonts w:ascii="Times New Roman" w:eastAsia="Times New Roman" w:hAnsi="Times New Roman" w:cs="Times New Roman"/>
      <w:kern w:val="28"/>
      <w:sz w:val="22"/>
      <w:szCs w:val="20"/>
      <w:lang w:val="x-none" w:eastAsia="x-none"/>
    </w:rPr>
  </w:style>
  <w:style w:type="paragraph" w:styleId="List">
    <w:name w:val="List"/>
    <w:basedOn w:val="Normal"/>
    <w:rsid w:val="001D334B"/>
    <w:pPr>
      <w:ind w:left="360" w:hanging="360"/>
      <w:jc w:val="both"/>
    </w:pPr>
  </w:style>
  <w:style w:type="paragraph" w:styleId="List2">
    <w:name w:val="List 2"/>
    <w:basedOn w:val="Normal"/>
    <w:rsid w:val="001D334B"/>
    <w:pPr>
      <w:ind w:left="720" w:hanging="360"/>
      <w:jc w:val="both"/>
    </w:pPr>
  </w:style>
  <w:style w:type="paragraph" w:styleId="ListNumber">
    <w:name w:val="List Number"/>
    <w:basedOn w:val="Normal"/>
    <w:link w:val="ListNumberChar"/>
    <w:rsid w:val="001D334B"/>
    <w:pPr>
      <w:ind w:left="360" w:hanging="360"/>
      <w:jc w:val="both"/>
    </w:pPr>
    <w:rPr>
      <w:lang w:val="x-none" w:eastAsia="x-none"/>
    </w:rPr>
  </w:style>
  <w:style w:type="character" w:styleId="Hyperlink">
    <w:name w:val="Hyperlink"/>
    <w:rsid w:val="001D334B"/>
    <w:rPr>
      <w:color w:val="0000FF"/>
      <w:u w:val="single"/>
    </w:rPr>
  </w:style>
  <w:style w:type="character" w:customStyle="1" w:styleId="ListNumberChar">
    <w:name w:val="List Number Char"/>
    <w:link w:val="ListNumber"/>
    <w:rsid w:val="001D334B"/>
    <w:rPr>
      <w:rFonts w:ascii="Times New Roman" w:eastAsia="Times New Roman" w:hAnsi="Times New Roman" w:cs="Times New Roman"/>
      <w:kern w:val="28"/>
      <w:sz w:val="22"/>
      <w:szCs w:val="20"/>
      <w:lang w:val="x-none" w:eastAsia="x-none"/>
    </w:rPr>
  </w:style>
  <w:style w:type="paragraph" w:styleId="Header">
    <w:name w:val="header"/>
    <w:basedOn w:val="Normal"/>
    <w:link w:val="HeaderChar"/>
    <w:uiPriority w:val="99"/>
    <w:unhideWhenUsed/>
    <w:rsid w:val="001D334B"/>
    <w:pPr>
      <w:tabs>
        <w:tab w:val="center" w:pos="4680"/>
        <w:tab w:val="right" w:pos="9360"/>
      </w:tabs>
    </w:pPr>
  </w:style>
  <w:style w:type="character" w:customStyle="1" w:styleId="HeaderChar">
    <w:name w:val="Header Char"/>
    <w:basedOn w:val="DefaultParagraphFont"/>
    <w:link w:val="Header"/>
    <w:uiPriority w:val="99"/>
    <w:rsid w:val="001D334B"/>
    <w:rPr>
      <w:rFonts w:ascii="Times New Roman" w:eastAsia="Times New Roman" w:hAnsi="Times New Roman" w:cs="Times New Roman"/>
      <w:kern w:val="28"/>
      <w:sz w:val="22"/>
      <w:szCs w:val="20"/>
    </w:rPr>
  </w:style>
  <w:style w:type="paragraph" w:styleId="Footer">
    <w:name w:val="footer"/>
    <w:basedOn w:val="Normal"/>
    <w:link w:val="FooterChar"/>
    <w:unhideWhenUsed/>
    <w:rsid w:val="001D334B"/>
    <w:pPr>
      <w:tabs>
        <w:tab w:val="center" w:pos="4680"/>
        <w:tab w:val="right" w:pos="9360"/>
      </w:tabs>
    </w:pPr>
  </w:style>
  <w:style w:type="character" w:customStyle="1" w:styleId="FooterChar">
    <w:name w:val="Footer Char"/>
    <w:basedOn w:val="DefaultParagraphFont"/>
    <w:link w:val="Footer"/>
    <w:rsid w:val="001D334B"/>
    <w:rPr>
      <w:rFonts w:ascii="Times New Roman" w:eastAsia="Times New Roman" w:hAnsi="Times New Roman" w:cs="Times New Roman"/>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ivers@isbe.net" TargetMode="External"/><Relationship Id="rId13" Type="http://schemas.openxmlformats.org/officeDocument/2006/relationships/hyperlink" Target="http://www.isbe.net/documents/33-77_waiver_applicatio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isbe.net/Pages/Waivers.aspx" TargetMode="External"/><Relationship Id="rId12" Type="http://schemas.openxmlformats.org/officeDocument/2006/relationships/hyperlink" Target="http://www.isbe.net/Pages/Waiver-Application.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be.net/Pages/Overview-of-the-Waiver-Process.aspx" TargetMode="External"/><Relationship Id="rId5" Type="http://schemas.openxmlformats.org/officeDocument/2006/relationships/footnotes" Target="footnotes.xml"/><Relationship Id="rId15" Type="http://schemas.openxmlformats.org/officeDocument/2006/relationships/hyperlink" Target="http://www.isbe.net/Pages/Modifications-of-the-School-Codes-and-Rules-of-the-State-Board.aspx" TargetMode="External"/><Relationship Id="rId23" Type="http://schemas.openxmlformats.org/officeDocument/2006/relationships/theme" Target="theme/theme1.xml"/><Relationship Id="rId10" Type="http://schemas.openxmlformats.org/officeDocument/2006/relationships/hyperlink" Target="http://www.isbe.net/Pages/Waiver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sbe.net/Pages/Overview-of-the-Waiver-Process.aspx" TargetMode="External"/><Relationship Id="rId14" Type="http://schemas.openxmlformats.org/officeDocument/2006/relationships/hyperlink" Target="http://www.isbe.net/Pages/Modifications-of-the-School-Codes-and-Rules-of-the-State-Board.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2021-01-29T17:54:00Z</dcterms:created>
  <dcterms:modified xsi:type="dcterms:W3CDTF">2021-01-29T17:56:00Z</dcterms:modified>
</cp:coreProperties>
</file>