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518" w:rsidRDefault="00A92518" w:rsidP="00A92518">
      <w:pPr>
        <w:pBdr>
          <w:bottom w:val="single" w:sz="4" w:space="1" w:color="auto"/>
        </w:pBdr>
        <w:tabs>
          <w:tab w:val="right" w:pos="9000"/>
        </w:tabs>
      </w:pPr>
      <w:r>
        <w:t>August 2020</w:t>
      </w:r>
      <w:r>
        <w:tab/>
        <w:t>4:180-AP2</w:t>
      </w:r>
    </w:p>
    <w:p w:rsidR="00A92518" w:rsidRDefault="00A92518" w:rsidP="00A92518">
      <w:pPr>
        <w:tabs>
          <w:tab w:val="right" w:pos="9000"/>
        </w:tabs>
      </w:pPr>
    </w:p>
    <w:p w:rsidR="00A92518" w:rsidRDefault="00A92518" w:rsidP="00A92518">
      <w:pPr>
        <w:pStyle w:val="Heading1"/>
      </w:pPr>
      <w:r>
        <w:t>Operational Services</w:t>
      </w:r>
    </w:p>
    <w:p w:rsidR="00A92518" w:rsidRPr="00EA71FC" w:rsidRDefault="00A92518" w:rsidP="00A92518">
      <w:pPr>
        <w:pStyle w:val="Heading2"/>
      </w:pPr>
      <w:r w:rsidRPr="00EA71FC">
        <w:t>Administrative Procedure - Pandemic Influenza Surveillance and Reporting</w:t>
      </w:r>
      <w:r w:rsidRPr="00EA71FC">
        <w:rPr>
          <w:u w:val="none"/>
        </w:rPr>
        <w:t xml:space="preserve"> </w:t>
      </w:r>
    </w:p>
    <w:p w:rsidR="00A92518" w:rsidRPr="00D9578B" w:rsidRDefault="00A92518" w:rsidP="00A92518">
      <w:pPr>
        <w:pStyle w:val="BodyText"/>
      </w:pPr>
      <w:r w:rsidRPr="00D9578B">
        <w:t>During all levels of a pandemic flu outbreak, monitoring and documenting the number of students and faculty who are absent and report having influenza is critical. Keeping track of these numbers helps health officials determine whether: (1) the outbreak is increasing in scope, (2) to declare an epidemic and (3) to close school</w:t>
      </w:r>
      <w:r w:rsidRPr="00B770DC">
        <w:t xml:space="preserve"> buildings and facilities. Consult the local public health department for an illness’ </w:t>
      </w:r>
      <w:r w:rsidRPr="00D9578B">
        <w:rPr>
          <w:i/>
        </w:rPr>
        <w:t>expected range</w:t>
      </w:r>
      <w:r w:rsidRPr="00D9578B">
        <w:t>.</w:t>
      </w:r>
    </w:p>
    <w:p w:rsidR="00A92518" w:rsidRPr="00D9578B" w:rsidRDefault="00A92518" w:rsidP="00A92518">
      <w:pPr>
        <w:pStyle w:val="BodyText"/>
      </w:pPr>
      <w:r w:rsidRPr="00D9578B">
        <w:t>The following information assists officials with monitoring illness rates and the potential for an epidemic:</w:t>
      </w:r>
    </w:p>
    <w:p w:rsidR="00A92518" w:rsidRDefault="00A92518" w:rsidP="00A92518">
      <w:pPr>
        <w:pStyle w:val="BULLET"/>
        <w:numPr>
          <w:ilvl w:val="0"/>
          <w:numId w:val="1"/>
        </w:numPr>
      </w:pPr>
      <w:r>
        <w:t>Basic surveillance level definitions and response actions with instructions as outlined below.</w:t>
      </w:r>
    </w:p>
    <w:p w:rsidR="00A92518" w:rsidRDefault="00A92518" w:rsidP="00A92518">
      <w:pPr>
        <w:pStyle w:val="BULLET"/>
        <w:numPr>
          <w:ilvl w:val="0"/>
          <w:numId w:val="1"/>
        </w:numPr>
      </w:pPr>
      <w:r>
        <w:t>Website links to reporting form(s) to submit to the local public health department.</w:t>
      </w:r>
    </w:p>
    <w:p w:rsidR="00A92518" w:rsidRDefault="00A92518" w:rsidP="00A92518">
      <w:pPr>
        <w:pStyle w:val="BULLET"/>
        <w:numPr>
          <w:ilvl w:val="0"/>
          <w:numId w:val="1"/>
        </w:numPr>
        <w:spacing w:after="60"/>
      </w:pPr>
      <w:r>
        <w:t>Sample attendance log to document flu-related absences.</w:t>
      </w:r>
    </w:p>
    <w:tbl>
      <w:tblPr>
        <w:tblW w:w="0" w:type="auto"/>
        <w:tblInd w:w="108" w:type="dxa"/>
        <w:tblLayout w:type="fixed"/>
        <w:tblLook w:val="0000"/>
      </w:tblPr>
      <w:tblGrid>
        <w:gridCol w:w="3130"/>
        <w:gridCol w:w="5870"/>
      </w:tblGrid>
      <w:tr w:rsidR="00A92518" w:rsidTr="00955645">
        <w:tblPrEx>
          <w:tblCellMar>
            <w:top w:w="0" w:type="dxa"/>
            <w:bottom w:w="0" w:type="dxa"/>
          </w:tblCellMar>
        </w:tblPrEx>
        <w:trPr>
          <w:tblHeader/>
        </w:trPr>
        <w:tc>
          <w:tcPr>
            <w:tcW w:w="3130" w:type="dxa"/>
            <w:tcBorders>
              <w:top w:val="single" w:sz="6" w:space="0" w:color="auto"/>
              <w:left w:val="single" w:sz="6" w:space="0" w:color="auto"/>
              <w:bottom w:val="single" w:sz="6" w:space="0" w:color="auto"/>
              <w:right w:val="single" w:sz="6" w:space="0" w:color="auto"/>
            </w:tcBorders>
          </w:tcPr>
          <w:p w:rsidR="00A92518" w:rsidRDefault="00A92518" w:rsidP="00955645">
            <w:pPr>
              <w:pStyle w:val="BodyText"/>
              <w:jc w:val="center"/>
              <w:rPr>
                <w:b/>
              </w:rPr>
            </w:pPr>
            <w:r>
              <w:rPr>
                <w:b/>
              </w:rPr>
              <w:t>Surveillance Levels</w:t>
            </w:r>
          </w:p>
        </w:tc>
        <w:tc>
          <w:tcPr>
            <w:tcW w:w="5870" w:type="dxa"/>
            <w:tcBorders>
              <w:top w:val="single" w:sz="6" w:space="0" w:color="auto"/>
              <w:left w:val="single" w:sz="6" w:space="0" w:color="auto"/>
              <w:bottom w:val="single" w:sz="6" w:space="0" w:color="auto"/>
              <w:right w:val="single" w:sz="6" w:space="0" w:color="auto"/>
            </w:tcBorders>
          </w:tcPr>
          <w:p w:rsidR="00A92518" w:rsidRDefault="00A92518" w:rsidP="00955645">
            <w:pPr>
              <w:pStyle w:val="BodyText"/>
              <w:jc w:val="center"/>
              <w:rPr>
                <w:b/>
              </w:rPr>
            </w:pPr>
            <w:r>
              <w:rPr>
                <w:b/>
              </w:rPr>
              <w:t>Response Actions</w:t>
            </w:r>
          </w:p>
        </w:tc>
      </w:tr>
      <w:tr w:rsidR="00A92518" w:rsidTr="00955645">
        <w:tblPrEx>
          <w:tblCellMar>
            <w:top w:w="0" w:type="dxa"/>
            <w:bottom w:w="0" w:type="dxa"/>
          </w:tblCellMar>
        </w:tblPrEx>
        <w:tc>
          <w:tcPr>
            <w:tcW w:w="3130" w:type="dxa"/>
            <w:tcBorders>
              <w:top w:val="single" w:sz="6" w:space="0" w:color="auto"/>
              <w:left w:val="single" w:sz="6" w:space="0" w:color="auto"/>
              <w:bottom w:val="single" w:sz="6" w:space="0" w:color="auto"/>
              <w:right w:val="single" w:sz="6" w:space="0" w:color="auto"/>
            </w:tcBorders>
          </w:tcPr>
          <w:p w:rsidR="00A92518" w:rsidRDefault="00A92518" w:rsidP="00955645">
            <w:pPr>
              <w:pStyle w:val="BodyText"/>
              <w:jc w:val="left"/>
            </w:pPr>
            <w:r>
              <w:rPr>
                <w:b/>
              </w:rPr>
              <w:t>Standard Surveillance</w:t>
            </w:r>
            <w:r>
              <w:t xml:space="preserve"> - Reported illnesses are within expected range.</w:t>
            </w:r>
          </w:p>
        </w:tc>
        <w:tc>
          <w:tcPr>
            <w:tcW w:w="5870" w:type="dxa"/>
            <w:tcBorders>
              <w:top w:val="single" w:sz="6" w:space="0" w:color="auto"/>
              <w:left w:val="single" w:sz="6" w:space="0" w:color="auto"/>
              <w:bottom w:val="single" w:sz="6" w:space="0" w:color="auto"/>
              <w:right w:val="single" w:sz="6" w:space="0" w:color="auto"/>
            </w:tcBorders>
          </w:tcPr>
          <w:p w:rsidR="00A92518" w:rsidRDefault="00A92518" w:rsidP="00955645">
            <w:pPr>
              <w:pStyle w:val="BodyText"/>
              <w:spacing w:after="0"/>
              <w:jc w:val="left"/>
            </w:pPr>
            <w:r>
              <w:t>Monitor attendance for increased reports of absence due to flu-like illness.</w:t>
            </w:r>
          </w:p>
          <w:p w:rsidR="00A92518" w:rsidRDefault="00A92518" w:rsidP="00955645">
            <w:pPr>
              <w:pStyle w:val="BodyText"/>
              <w:jc w:val="left"/>
            </w:pPr>
            <w:r>
              <w:t>Do not report absences to the local health department.</w:t>
            </w:r>
          </w:p>
        </w:tc>
      </w:tr>
      <w:tr w:rsidR="00A92518" w:rsidTr="00955645">
        <w:tblPrEx>
          <w:tblCellMar>
            <w:top w:w="0" w:type="dxa"/>
            <w:bottom w:w="0" w:type="dxa"/>
          </w:tblCellMar>
        </w:tblPrEx>
        <w:tc>
          <w:tcPr>
            <w:tcW w:w="3130" w:type="dxa"/>
            <w:tcBorders>
              <w:top w:val="single" w:sz="6" w:space="0" w:color="auto"/>
              <w:left w:val="single" w:sz="6" w:space="0" w:color="auto"/>
              <w:bottom w:val="single" w:sz="6" w:space="0" w:color="auto"/>
              <w:right w:val="single" w:sz="6" w:space="0" w:color="auto"/>
            </w:tcBorders>
          </w:tcPr>
          <w:p w:rsidR="00A92518" w:rsidRDefault="00A92518" w:rsidP="00955645">
            <w:pPr>
              <w:pStyle w:val="BodyText"/>
              <w:numPr>
                <w:ilvl w:val="12"/>
                <w:numId w:val="0"/>
              </w:numPr>
              <w:jc w:val="left"/>
            </w:pPr>
            <w:r>
              <w:rPr>
                <w:b/>
              </w:rPr>
              <w:t>Heightened Surveillance</w:t>
            </w:r>
            <w:r w:rsidRPr="00AB39AD">
              <w:t xml:space="preserve"> - </w:t>
            </w:r>
            <w:r>
              <w:t>Reported illnesses exceed expected range.</w:t>
            </w:r>
          </w:p>
        </w:tc>
        <w:tc>
          <w:tcPr>
            <w:tcW w:w="5870" w:type="dxa"/>
            <w:tcBorders>
              <w:top w:val="single" w:sz="6" w:space="0" w:color="auto"/>
              <w:left w:val="single" w:sz="6" w:space="0" w:color="auto"/>
              <w:bottom w:val="single" w:sz="6" w:space="0" w:color="auto"/>
              <w:right w:val="single" w:sz="6" w:space="0" w:color="auto"/>
            </w:tcBorders>
          </w:tcPr>
          <w:p w:rsidR="00A92518" w:rsidRDefault="00A92518" w:rsidP="00955645">
            <w:pPr>
              <w:pStyle w:val="BodyText"/>
              <w:spacing w:after="0"/>
              <w:jc w:val="left"/>
            </w:pPr>
            <w:r>
              <w:t xml:space="preserve">Monitor weekly attendance for flu-like illness/absences on </w:t>
            </w:r>
            <w:r w:rsidRPr="00207E04">
              <w:rPr>
                <w:b/>
              </w:rPr>
              <w:t>Weekly Influenza Census</w:t>
            </w:r>
            <w:r>
              <w:t xml:space="preserve"> at:</w:t>
            </w:r>
          </w:p>
          <w:p w:rsidR="00A92518" w:rsidRDefault="00A92518" w:rsidP="00955645">
            <w:pPr>
              <w:pStyle w:val="BodyText"/>
              <w:tabs>
                <w:tab w:val="left" w:pos="317"/>
              </w:tabs>
              <w:spacing w:before="0"/>
              <w:jc w:val="left"/>
            </w:pPr>
            <w:hyperlink r:id="rId6" w:history="1">
              <w:r w:rsidRPr="000C7F67">
                <w:rPr>
                  <w:rStyle w:val="Hyperlink"/>
                </w:rPr>
                <w:t>www.idph.state.il.us/pandemic_flu/</w:t>
              </w:r>
              <w:r w:rsidRPr="000C7F67">
                <w:rPr>
                  <w:rStyle w:val="Hyperlink"/>
                </w:rPr>
                <w:t>s</w:t>
              </w:r>
              <w:r w:rsidRPr="000C7F67">
                <w:rPr>
                  <w:rStyle w:val="Hyperlink"/>
                </w:rPr>
                <w:t>chool_guide/sppg_weekly_census.pdf</w:t>
              </w:r>
            </w:hyperlink>
            <w:r>
              <w:t>.</w:t>
            </w:r>
          </w:p>
          <w:p w:rsidR="00A92518" w:rsidRDefault="00A92518" w:rsidP="00955645">
            <w:pPr>
              <w:pStyle w:val="BodyText"/>
              <w:spacing w:after="0"/>
              <w:jc w:val="left"/>
            </w:pPr>
            <w:r>
              <w:t xml:space="preserve">Begin morning </w:t>
            </w:r>
            <w:r w:rsidRPr="0071120B">
              <w:rPr>
                <w:i/>
              </w:rPr>
              <w:t>flu check</w:t>
            </w:r>
            <w:r>
              <w:t xml:space="preserve"> first hour of school; screen those who report positive for symptoms.</w:t>
            </w:r>
          </w:p>
          <w:p w:rsidR="00A92518" w:rsidRDefault="00A92518" w:rsidP="00955645">
            <w:pPr>
              <w:pStyle w:val="BodyText"/>
              <w:spacing w:after="0"/>
              <w:jc w:val="left"/>
            </w:pPr>
            <w:r>
              <w:t xml:space="preserve">Log absences due to flu-like illness on </w:t>
            </w:r>
            <w:r w:rsidRPr="00207E04">
              <w:rPr>
                <w:b/>
              </w:rPr>
              <w:t>Daily Pandemic Influenza Census Log</w:t>
            </w:r>
            <w:r w:rsidRPr="00207E04">
              <w:t xml:space="preserve">, </w:t>
            </w:r>
            <w:r>
              <w:t>a sample is available at:</w:t>
            </w:r>
          </w:p>
          <w:p w:rsidR="00A92518" w:rsidRDefault="00A92518" w:rsidP="00955645">
            <w:pPr>
              <w:pStyle w:val="BodyText"/>
              <w:tabs>
                <w:tab w:val="left" w:pos="2"/>
              </w:tabs>
              <w:spacing w:before="0"/>
              <w:ind w:left="2"/>
              <w:jc w:val="left"/>
            </w:pPr>
            <w:hyperlink r:id="rId7" w:history="1">
              <w:r w:rsidRPr="000C7F67">
                <w:rPr>
                  <w:rStyle w:val="Hyperlink"/>
                </w:rPr>
                <w:t>www.idph.state.il.us/pandemic_</w:t>
              </w:r>
              <w:r w:rsidRPr="000C7F67">
                <w:rPr>
                  <w:rStyle w:val="Hyperlink"/>
                </w:rPr>
                <w:t>f</w:t>
              </w:r>
              <w:r w:rsidRPr="000C7F67">
                <w:rPr>
                  <w:rStyle w:val="Hyperlink"/>
                </w:rPr>
                <w:t>lu/school_guide/sppg_daily_census.pdf</w:t>
              </w:r>
            </w:hyperlink>
            <w:r>
              <w:t>.</w:t>
            </w:r>
          </w:p>
          <w:p w:rsidR="00A92518" w:rsidRDefault="00A92518" w:rsidP="00955645">
            <w:pPr>
              <w:pStyle w:val="BodyText"/>
              <w:jc w:val="left"/>
            </w:pPr>
            <w:r>
              <w:t xml:space="preserve">Send </w:t>
            </w:r>
            <w:r w:rsidRPr="00E175BB">
              <w:t>weekly</w:t>
            </w:r>
            <w:r>
              <w:t xml:space="preserve"> absence report to local health department upon request.</w:t>
            </w:r>
          </w:p>
        </w:tc>
      </w:tr>
      <w:tr w:rsidR="00A92518" w:rsidTr="00955645">
        <w:tblPrEx>
          <w:tblCellMar>
            <w:top w:w="0" w:type="dxa"/>
            <w:bottom w:w="0" w:type="dxa"/>
          </w:tblCellMar>
        </w:tblPrEx>
        <w:tc>
          <w:tcPr>
            <w:tcW w:w="3130" w:type="dxa"/>
            <w:tcBorders>
              <w:top w:val="single" w:sz="6" w:space="0" w:color="auto"/>
              <w:left w:val="single" w:sz="6" w:space="0" w:color="auto"/>
              <w:bottom w:val="single" w:sz="6" w:space="0" w:color="auto"/>
              <w:right w:val="single" w:sz="6" w:space="0" w:color="auto"/>
            </w:tcBorders>
          </w:tcPr>
          <w:p w:rsidR="00A92518" w:rsidRDefault="00A92518" w:rsidP="00955645">
            <w:pPr>
              <w:pStyle w:val="BodyText"/>
              <w:numPr>
                <w:ilvl w:val="12"/>
                <w:numId w:val="0"/>
              </w:numPr>
              <w:jc w:val="left"/>
              <w:rPr>
                <w:b/>
              </w:rPr>
            </w:pPr>
            <w:r>
              <w:rPr>
                <w:b/>
              </w:rPr>
              <w:t>Intensive Surveillance</w:t>
            </w:r>
            <w:r w:rsidRPr="00AB39AD">
              <w:t xml:space="preserve"> - </w:t>
            </w:r>
            <w:r>
              <w:t>Reported illnesses significantly exceed expected range.</w:t>
            </w:r>
          </w:p>
        </w:tc>
        <w:tc>
          <w:tcPr>
            <w:tcW w:w="5870" w:type="dxa"/>
            <w:tcBorders>
              <w:top w:val="single" w:sz="6" w:space="0" w:color="auto"/>
              <w:left w:val="single" w:sz="6" w:space="0" w:color="auto"/>
              <w:bottom w:val="single" w:sz="6" w:space="0" w:color="auto"/>
              <w:right w:val="single" w:sz="6" w:space="0" w:color="auto"/>
            </w:tcBorders>
          </w:tcPr>
          <w:p w:rsidR="00A92518" w:rsidRPr="00F36078" w:rsidRDefault="00A92518" w:rsidP="00955645">
            <w:pPr>
              <w:pStyle w:val="BodyText"/>
            </w:pPr>
            <w:r w:rsidRPr="00F36078">
              <w:t>Monitor daily attendance and log absences on Daily Influenza Census or Daily Pandemic Influenza Log at:</w:t>
            </w:r>
          </w:p>
          <w:p w:rsidR="00A92518" w:rsidRPr="00F36078" w:rsidRDefault="00A92518" w:rsidP="00955645">
            <w:pPr>
              <w:pStyle w:val="BodyText"/>
              <w:tabs>
                <w:tab w:val="left" w:pos="302"/>
              </w:tabs>
              <w:spacing w:before="0"/>
              <w:jc w:val="left"/>
              <w:rPr>
                <w:i/>
              </w:rPr>
            </w:pPr>
            <w:hyperlink r:id="rId8" w:history="1">
              <w:r w:rsidRPr="00F36078">
                <w:rPr>
                  <w:rStyle w:val="Hyperlink"/>
                </w:rPr>
                <w:t>www.idph.state.il.us/p</w:t>
              </w:r>
              <w:r w:rsidRPr="00F36078">
                <w:rPr>
                  <w:rStyle w:val="Hyperlink"/>
                </w:rPr>
                <w:t>a</w:t>
              </w:r>
              <w:r w:rsidRPr="00F36078">
                <w:rPr>
                  <w:rStyle w:val="Hyperlink"/>
                </w:rPr>
                <w:t>ndemic_flu/school_guide/sppg_daily_census.pdf</w:t>
              </w:r>
            </w:hyperlink>
            <w:r w:rsidRPr="00F36078">
              <w:t>.</w:t>
            </w:r>
          </w:p>
          <w:p w:rsidR="00A92518" w:rsidRPr="00F36078" w:rsidRDefault="00A92518" w:rsidP="00955645">
            <w:pPr>
              <w:pStyle w:val="BodyText"/>
            </w:pPr>
            <w:r w:rsidRPr="00F36078">
              <w:t>Continue morning flu check.</w:t>
            </w:r>
          </w:p>
          <w:p w:rsidR="00A92518" w:rsidRPr="00D9578B" w:rsidRDefault="00A92518" w:rsidP="00955645">
            <w:pPr>
              <w:pStyle w:val="BodyText"/>
            </w:pPr>
            <w:r w:rsidRPr="00F36078">
              <w:t>Send daily absence report to local health department upon request.</w:t>
            </w:r>
          </w:p>
          <w:p w:rsidR="00A92518" w:rsidRDefault="00A92518" w:rsidP="00955645">
            <w:pPr>
              <w:pStyle w:val="BodyText"/>
            </w:pPr>
            <w:r w:rsidRPr="00D9578B">
              <w:t>Begin preparation for potential school closure</w:t>
            </w:r>
            <w:r>
              <w:t>.</w:t>
            </w:r>
          </w:p>
        </w:tc>
      </w:tr>
    </w:tbl>
    <w:p w:rsidR="00A92518" w:rsidRDefault="00A92518" w:rsidP="00A92518">
      <w:pPr>
        <w:pStyle w:val="SUBHEADING"/>
      </w:pPr>
      <w:r>
        <w:t>Important Resources</w:t>
      </w:r>
    </w:p>
    <w:p w:rsidR="00A92518" w:rsidRPr="002A4A1C" w:rsidRDefault="00A92518" w:rsidP="00A92518">
      <w:pPr>
        <w:pStyle w:val="BodyText"/>
      </w:pPr>
      <w:r w:rsidRPr="00207E04">
        <w:rPr>
          <w:b/>
        </w:rPr>
        <w:t xml:space="preserve">School Guidance </w:t>
      </w:r>
      <w:proofErr w:type="gramStart"/>
      <w:r w:rsidRPr="00207E04">
        <w:rPr>
          <w:b/>
        </w:rPr>
        <w:t>During</w:t>
      </w:r>
      <w:proofErr w:type="gramEnd"/>
      <w:r w:rsidRPr="00207E04">
        <w:rPr>
          <w:b/>
        </w:rPr>
        <w:t xml:space="preserve"> an Influenza Pandemic, Section III. Surveillance</w:t>
      </w:r>
      <w:r>
        <w:t xml:space="preserve"> at: </w:t>
      </w:r>
      <w:hyperlink r:id="rId9" w:history="1">
        <w:r w:rsidRPr="000C7F67">
          <w:rPr>
            <w:rStyle w:val="Hyperlink"/>
          </w:rPr>
          <w:t>www.idph.state.il.</w:t>
        </w:r>
        <w:r w:rsidRPr="000C7F67">
          <w:rPr>
            <w:rStyle w:val="Hyperlink"/>
          </w:rPr>
          <w:t>u</w:t>
        </w:r>
        <w:r w:rsidRPr="000C7F67">
          <w:rPr>
            <w:rStyle w:val="Hyperlink"/>
          </w:rPr>
          <w:t>s/pandemic_flu/schoolguide.htm</w:t>
        </w:r>
      </w:hyperlink>
      <w:r>
        <w:t>.</w:t>
      </w:r>
    </w:p>
    <w:p w:rsidR="00651930" w:rsidRDefault="00651930"/>
    <w:sectPr w:rsidR="00651930" w:rsidSect="00651930">
      <w:footerReference w:type="default" r:id="rId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51" w:rsidRDefault="00A92518">
    <w:pPr>
      <w:pStyle w:val="Footer"/>
      <w:tabs>
        <w:tab w:val="clear" w:pos="4320"/>
        <w:tab w:val="clear" w:pos="8640"/>
        <w:tab w:val="right" w:pos="9000"/>
      </w:tabs>
    </w:pPr>
  </w:p>
  <w:p w:rsidR="009C7A51" w:rsidRDefault="00A92518">
    <w:pPr>
      <w:pStyle w:val="Footer"/>
      <w:tabs>
        <w:tab w:val="clear" w:pos="4320"/>
        <w:tab w:val="clear" w:pos="8640"/>
        <w:tab w:val="right" w:pos="9000"/>
      </w:tabs>
    </w:pPr>
    <w:r>
      <w:t>4:180-AP2</w:t>
    </w:r>
    <w:r>
      <w:tab/>
      <w:t xml:space="preserve">Page </w:t>
    </w:r>
    <w:r>
      <w:fldChar w:fldCharType="begin"/>
    </w:r>
    <w:r>
      <w:instrText xml:space="preserve"> PAGE   </w:instrText>
    </w:r>
    <w:r>
      <w:instrText xml:space="preserve">\* MERGEFORMAT </w:instrText>
    </w:r>
    <w:r>
      <w:fldChar w:fldCharType="separate"/>
    </w:r>
    <w:r>
      <w:rPr>
        <w:noProof/>
      </w:rPr>
      <w:t>1</w:t>
    </w:r>
    <w:r>
      <w:fldChar w:fldCharType="end"/>
    </w:r>
    <w:r>
      <w:t xml:space="preserve"> of </w:t>
    </w:r>
    <w:fldSimple w:instr=" SECTIONPAGES   \* MERGEFORMAT ">
      <w:r>
        <w:rPr>
          <w:noProof/>
        </w:rPr>
        <w:t>1</w:t>
      </w:r>
    </w:fldSimple>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B08806"/>
    <w:lvl w:ilvl="0">
      <w:numFmt w:val="decimal"/>
      <w:lvlText w:val="*"/>
      <w:lvlJc w:val="left"/>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2518"/>
    <w:rsid w:val="00651930"/>
    <w:rsid w:val="00A925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518"/>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A92518"/>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A92518"/>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2518"/>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A92518"/>
    <w:rPr>
      <w:rFonts w:ascii="Arial" w:eastAsia="Times New Roman" w:hAnsi="Arial" w:cs="Times New Roman"/>
      <w:b/>
      <w:kern w:val="28"/>
      <w:szCs w:val="20"/>
      <w:u w:val="single"/>
    </w:rPr>
  </w:style>
  <w:style w:type="paragraph" w:styleId="BodyText">
    <w:name w:val="Body Text"/>
    <w:basedOn w:val="Normal"/>
    <w:link w:val="BodyTextChar"/>
    <w:rsid w:val="00A92518"/>
    <w:pPr>
      <w:spacing w:before="60" w:after="60"/>
      <w:jc w:val="both"/>
    </w:pPr>
  </w:style>
  <w:style w:type="character" w:customStyle="1" w:styleId="BodyTextChar">
    <w:name w:val="Body Text Char"/>
    <w:basedOn w:val="DefaultParagraphFont"/>
    <w:link w:val="BodyText"/>
    <w:rsid w:val="00A92518"/>
    <w:rPr>
      <w:rFonts w:ascii="Times New Roman" w:eastAsia="Times New Roman" w:hAnsi="Times New Roman" w:cs="Times New Roman"/>
      <w:kern w:val="28"/>
      <w:szCs w:val="20"/>
    </w:rPr>
  </w:style>
  <w:style w:type="paragraph" w:customStyle="1" w:styleId="BULLET">
    <w:name w:val="BULLET"/>
    <w:basedOn w:val="Normal"/>
    <w:link w:val="BULLETChar"/>
    <w:rsid w:val="00A92518"/>
    <w:pPr>
      <w:ind w:left="1080" w:hanging="360"/>
      <w:jc w:val="both"/>
    </w:pPr>
  </w:style>
  <w:style w:type="paragraph" w:customStyle="1" w:styleId="SUBHEADING">
    <w:name w:val="SUBHEADING"/>
    <w:basedOn w:val="Normal"/>
    <w:next w:val="BodyText"/>
    <w:link w:val="SUBHEADINGChar"/>
    <w:rsid w:val="00A92518"/>
    <w:pPr>
      <w:keepNext/>
      <w:spacing w:before="120" w:after="60"/>
    </w:pPr>
    <w:rPr>
      <w:u w:val="single"/>
    </w:rPr>
  </w:style>
  <w:style w:type="paragraph" w:styleId="Footer">
    <w:name w:val="footer"/>
    <w:basedOn w:val="Normal"/>
    <w:link w:val="FooterChar"/>
    <w:rsid w:val="00A92518"/>
    <w:pPr>
      <w:tabs>
        <w:tab w:val="center" w:pos="4320"/>
        <w:tab w:val="right" w:pos="8640"/>
      </w:tabs>
    </w:pPr>
  </w:style>
  <w:style w:type="character" w:customStyle="1" w:styleId="FooterChar">
    <w:name w:val="Footer Char"/>
    <w:basedOn w:val="DefaultParagraphFont"/>
    <w:link w:val="Footer"/>
    <w:rsid w:val="00A92518"/>
    <w:rPr>
      <w:rFonts w:ascii="Times New Roman" w:eastAsia="Times New Roman" w:hAnsi="Times New Roman" w:cs="Times New Roman"/>
      <w:kern w:val="28"/>
      <w:szCs w:val="20"/>
    </w:rPr>
  </w:style>
  <w:style w:type="character" w:styleId="Hyperlink">
    <w:name w:val="Hyperlink"/>
    <w:rsid w:val="00A92518"/>
    <w:rPr>
      <w:color w:val="0000FF"/>
      <w:u w:val="single"/>
    </w:rPr>
  </w:style>
  <w:style w:type="character" w:customStyle="1" w:styleId="SUBHEADINGChar">
    <w:name w:val="SUBHEADING Char"/>
    <w:link w:val="SUBHEADING"/>
    <w:rsid w:val="00A92518"/>
    <w:rPr>
      <w:rFonts w:ascii="Times New Roman" w:eastAsia="Times New Roman" w:hAnsi="Times New Roman" w:cs="Times New Roman"/>
      <w:kern w:val="28"/>
      <w:szCs w:val="20"/>
      <w:u w:val="single"/>
    </w:rPr>
  </w:style>
  <w:style w:type="character" w:customStyle="1" w:styleId="BULLETChar">
    <w:name w:val="BULLET Char"/>
    <w:link w:val="BULLET"/>
    <w:rsid w:val="00A92518"/>
    <w:rPr>
      <w:rFonts w:ascii="Times New Roman" w:eastAsia="Times New Roman" w:hAnsi="Times New Roman" w:cs="Times New Roman"/>
      <w:kern w:val="28"/>
      <w:szCs w:val="20"/>
    </w:rPr>
  </w:style>
  <w:style w:type="paragraph" w:styleId="BalloonText">
    <w:name w:val="Balloon Text"/>
    <w:basedOn w:val="Normal"/>
    <w:link w:val="BalloonTextChar"/>
    <w:uiPriority w:val="99"/>
    <w:semiHidden/>
    <w:unhideWhenUsed/>
    <w:rsid w:val="00A92518"/>
    <w:rPr>
      <w:rFonts w:ascii="Tahoma" w:hAnsi="Tahoma" w:cs="Tahoma"/>
      <w:sz w:val="16"/>
      <w:szCs w:val="16"/>
    </w:rPr>
  </w:style>
  <w:style w:type="character" w:customStyle="1" w:styleId="BalloonTextChar">
    <w:name w:val="Balloon Text Char"/>
    <w:basedOn w:val="DefaultParagraphFont"/>
    <w:link w:val="BalloonText"/>
    <w:uiPriority w:val="99"/>
    <w:semiHidden/>
    <w:rsid w:val="00A92518"/>
    <w:rPr>
      <w:rFonts w:ascii="Tahoma" w:eastAsia="Times New Roman" w:hAnsi="Tahoma" w:cs="Tahoma"/>
      <w:kern w:val="28"/>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ph.state.il.us/pandemic_flu/school_guide/sppg_daily_census.pdf" TargetMode="External"/><Relationship Id="rId3" Type="http://schemas.openxmlformats.org/officeDocument/2006/relationships/styles" Target="styles.xml"/><Relationship Id="rId7" Type="http://schemas.openxmlformats.org/officeDocument/2006/relationships/hyperlink" Target="http://www.idph.state.il.us/pandemic_flu/school_guide/sppg_daily_census.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dph.state.il.us/pandemic_flu/school_guide/sppg_weekly_census.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dph.state.il.us/pandemic_flu/schoolgui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154DD1-5A36-49F8-BFB7-209F6237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2020-09-23T15:56:00Z</cp:lastPrinted>
  <dcterms:created xsi:type="dcterms:W3CDTF">2020-09-23T15:55:00Z</dcterms:created>
  <dcterms:modified xsi:type="dcterms:W3CDTF">2020-09-23T15:56:00Z</dcterms:modified>
</cp:coreProperties>
</file>