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D47C1" w14:textId="77777777" w:rsidR="007932D3" w:rsidRDefault="007932D3" w:rsidP="007932D3">
      <w:pPr>
        <w:pStyle w:val="Header"/>
        <w:pBdr>
          <w:bottom w:val="single" w:sz="4" w:space="1" w:color="auto"/>
        </w:pBdr>
        <w:tabs>
          <w:tab w:val="clear" w:pos="4320"/>
          <w:tab w:val="clear" w:pos="8640"/>
          <w:tab w:val="right" w:pos="9000"/>
        </w:tabs>
      </w:pPr>
      <w:r>
        <w:t>October 2019</w:t>
      </w:r>
      <w:r>
        <w:tab/>
        <w:t>2:200</w:t>
      </w:r>
    </w:p>
    <w:p w14:paraId="75066797" w14:textId="77777777" w:rsidR="007932D3" w:rsidRDefault="007932D3" w:rsidP="007932D3">
      <w:pPr>
        <w:tabs>
          <w:tab w:val="right" w:pos="9000"/>
        </w:tabs>
      </w:pPr>
    </w:p>
    <w:p w14:paraId="11C0F9B4" w14:textId="77777777" w:rsidR="007932D3" w:rsidRDefault="007932D3" w:rsidP="007932D3">
      <w:pPr>
        <w:pStyle w:val="Heading1"/>
      </w:pPr>
      <w:r>
        <w:t>School Board</w:t>
      </w:r>
    </w:p>
    <w:p w14:paraId="33382CF5" w14:textId="77777777" w:rsidR="007932D3" w:rsidRDefault="007932D3" w:rsidP="007932D3">
      <w:pPr>
        <w:pStyle w:val="Heading2"/>
      </w:pPr>
      <w:r>
        <w:t>Types of School Board Meetings</w:t>
      </w:r>
      <w:r>
        <w:rPr>
          <w:b w:val="0"/>
          <w:bCs/>
          <w:u w:val="none"/>
        </w:rPr>
        <w:t xml:space="preserve"> </w:t>
      </w:r>
    </w:p>
    <w:p w14:paraId="0D21802F" w14:textId="77777777" w:rsidR="007932D3" w:rsidRDefault="007932D3" w:rsidP="007932D3">
      <w:pPr>
        <w:pStyle w:val="SUBHEADING"/>
      </w:pPr>
      <w:r>
        <w:t>General</w:t>
      </w:r>
    </w:p>
    <w:p w14:paraId="593F41FF" w14:textId="77777777" w:rsidR="007932D3" w:rsidRDefault="007932D3" w:rsidP="007932D3">
      <w:pPr>
        <w:pStyle w:val="BodyText"/>
      </w:pPr>
      <w:r w:rsidRPr="00315BC8">
        <w:t>For all meetings of the School Board and its committees, the Superintendent or designee shall satisfy all notice and postin</w:t>
      </w:r>
      <w:r>
        <w:t>g requirements contained herein</w:t>
      </w:r>
      <w:r w:rsidRPr="00315BC8">
        <w:t xml:space="preserve"> as well as in the Open Meetings Act.</w:t>
      </w:r>
      <w:r>
        <w:t xml:space="preserve"> </w:t>
      </w:r>
      <w:r w:rsidRPr="00315BC8">
        <w:t xml:space="preserve">This shall include mailing meeting notifications to news media that have officially requested them and to others as approved by the </w:t>
      </w:r>
      <w:r>
        <w:t>Board</w:t>
      </w:r>
      <w:r w:rsidRPr="00315BC8">
        <w:t>.</w:t>
      </w:r>
      <w:r w:rsidRPr="00315BC8">
        <w:rPr>
          <w:rStyle w:val="BodyTextChar"/>
        </w:rPr>
        <w:t xml:space="preserve"> </w:t>
      </w:r>
      <w:r w:rsidRPr="00315BC8">
        <w:t xml:space="preserve">Unless otherwise specified, all meetings are held in the </w:t>
      </w:r>
      <w:bookmarkStart w:id="0" w:name="Sec272x"/>
      <w:r w:rsidRPr="00315BC8">
        <w:t>District</w:t>
      </w:r>
      <w:r>
        <w:t>’s main</w:t>
      </w:r>
      <w:r w:rsidRPr="00315BC8">
        <w:t xml:space="preserve"> office</w:t>
      </w:r>
      <w:bookmarkEnd w:id="0"/>
      <w:r w:rsidRPr="00315BC8">
        <w:t>.</w:t>
      </w:r>
      <w:r w:rsidRPr="00315BC8">
        <w:rPr>
          <w:rStyle w:val="BodyTextChar"/>
        </w:rPr>
        <w:t xml:space="preserve"> </w:t>
      </w:r>
      <w:r w:rsidRPr="00315BC8">
        <w:t xml:space="preserve">Board policy 2:220, </w:t>
      </w:r>
      <w:r w:rsidRPr="006D2C6E">
        <w:rPr>
          <w:i/>
        </w:rPr>
        <w:t>School Board Meeting Procedure</w:t>
      </w:r>
      <w:r w:rsidRPr="00315BC8">
        <w:t xml:space="preserve">, governs </w:t>
      </w:r>
      <w:r>
        <w:t xml:space="preserve">meeting </w:t>
      </w:r>
      <w:r w:rsidRPr="00315BC8">
        <w:t>quorum requirements</w:t>
      </w:r>
      <w:r>
        <w:t>.</w:t>
      </w:r>
    </w:p>
    <w:p w14:paraId="6AD3B2F1" w14:textId="77777777" w:rsidR="007932D3" w:rsidRPr="00061CF5" w:rsidRDefault="007932D3" w:rsidP="007932D3">
      <w:pPr>
        <w:pStyle w:val="BodyText"/>
      </w:pPr>
      <w:r w:rsidRPr="006A71C0">
        <w:t xml:space="preserve">The </w:t>
      </w:r>
      <w:bookmarkStart w:id="1" w:name="oma2200_1"/>
      <w:r w:rsidRPr="006A71C0">
        <w:t>Superintendent</w:t>
      </w:r>
      <w:bookmarkEnd w:id="1"/>
      <w:r w:rsidRPr="006A71C0">
        <w:t xml:space="preserve"> is designated on behalf of the Board and each Board committee to receive the training on compliance with the Open Meetings Act </w:t>
      </w:r>
      <w:r>
        <w:t>that is required by Section 1.05(a) of that Act.</w:t>
      </w:r>
      <w:r w:rsidRPr="006A71C0">
        <w:t xml:space="preserve"> The Superintendent may identify other employees to receive the training.</w:t>
      </w:r>
      <w:r>
        <w:t xml:space="preserve"> </w:t>
      </w:r>
      <w:bookmarkStart w:id="2" w:name="oma2200_2"/>
      <w:r>
        <w:t>In addition, each Board m</w:t>
      </w:r>
      <w:r w:rsidRPr="00A81B32">
        <w:t xml:space="preserve">ember </w:t>
      </w:r>
      <w:r>
        <w:t xml:space="preserve">must complete a course of training on the Open Meetings Act as required by Section 1.05(b) or (c) of that Act. </w:t>
      </w:r>
      <w:bookmarkEnd w:id="2"/>
    </w:p>
    <w:p w14:paraId="5684C98D" w14:textId="77777777" w:rsidR="007932D3" w:rsidRDefault="007932D3" w:rsidP="007932D3">
      <w:pPr>
        <w:pStyle w:val="SUBHEADING"/>
      </w:pPr>
      <w:r>
        <w:t>Regular Meetings</w:t>
      </w:r>
    </w:p>
    <w:p w14:paraId="3F3505C2" w14:textId="77777777" w:rsidR="007932D3" w:rsidRDefault="007932D3" w:rsidP="007932D3">
      <w:pPr>
        <w:pStyle w:val="BodyText"/>
      </w:pPr>
      <w:r>
        <w:t xml:space="preserve">The Board announces the time and place for its regular meetings at the beginning of each </w:t>
      </w:r>
      <w:bookmarkStart w:id="3" w:name="Sec276"/>
      <w:r>
        <w:t>fiscal</w:t>
      </w:r>
      <w:bookmarkEnd w:id="3"/>
      <w:r>
        <w:t xml:space="preserve"> year. The Superintendent shall prepare and make available the calendar of regular Board meetings. The regular meeting calendar may be changed with 10 days’ notice in accordance with State law. </w:t>
      </w:r>
    </w:p>
    <w:p w14:paraId="702AADA7" w14:textId="77777777" w:rsidR="007932D3" w:rsidRDefault="007932D3" w:rsidP="007932D3">
      <w:pPr>
        <w:pStyle w:val="BodyText"/>
      </w:pPr>
      <w:r>
        <w:t xml:space="preserve">A meeting agenda shall be posted at the District’s main office and the Board’s meeting room, or other location where the meeting is to be held, at least 48 hours before the meeting. </w:t>
      </w:r>
      <w:bookmarkStart w:id="4" w:name="nopost1"/>
      <w:bookmarkEnd w:id="4"/>
    </w:p>
    <w:p w14:paraId="3054D921" w14:textId="77777777" w:rsidR="007932D3" w:rsidRDefault="007932D3" w:rsidP="007932D3">
      <w:pPr>
        <w:pStyle w:val="SUBHEADING"/>
      </w:pPr>
      <w:r>
        <w:t>Closed Meetings</w:t>
      </w:r>
      <w:r w:rsidRPr="00FE7C2B">
        <w:rPr>
          <w:u w:val="none"/>
        </w:rPr>
        <w:t xml:space="preserve"> </w:t>
      </w:r>
    </w:p>
    <w:p w14:paraId="421A8B66" w14:textId="77777777" w:rsidR="007932D3" w:rsidRDefault="007932D3" w:rsidP="007932D3">
      <w:pPr>
        <w:pStyle w:val="BodyText"/>
      </w:pPr>
      <w:r>
        <w:t>The Board and Board committees may meet in a closed meeting to consider the following subjects:</w:t>
      </w:r>
    </w:p>
    <w:p w14:paraId="0F629BAE" w14:textId="77777777" w:rsidR="007932D3" w:rsidRDefault="007932D3" w:rsidP="007932D3">
      <w:pPr>
        <w:pStyle w:val="LISTNUMBERDOUBLE"/>
        <w:numPr>
          <w:ilvl w:val="0"/>
          <w:numId w:val="1"/>
        </w:numPr>
      </w:pPr>
      <w:r>
        <w:t xml:space="preserve">The appointment, employment, compensation, discipline, performance, or dismissal of specific employees, specific individuals who serve as independent contractors in a park, recreational, or educational setting, or specific volunteers of the public body or legal counsel for the public body, including hearing testimony on a complaint lodged against an employee, a specific individual who serves as an independent contractor in a park, recreational, or educational setting, or a volunteer of the public body or against legal counsel for the public body to determine its validity. However, a meeting to consider an increase in compensation to a specific employee of a public body that is subject to the Local Government Wage Increase Transparency Act may not be closed and shall be open to the public and posted and held in accordance with [the Open Meetings Act]. 5 ILCS 120/2(c)(1), amended by P.A. 101-459. </w:t>
      </w:r>
    </w:p>
    <w:p w14:paraId="54FB0A99" w14:textId="77777777" w:rsidR="007932D3" w:rsidRDefault="007932D3" w:rsidP="007932D3">
      <w:pPr>
        <w:pStyle w:val="LISTNUMBERDOUBLE"/>
        <w:numPr>
          <w:ilvl w:val="0"/>
          <w:numId w:val="1"/>
        </w:numPr>
      </w:pPr>
      <w:r>
        <w:t xml:space="preserve">Collective negotiating matters between the public body and its employees or their representatives, or deliberations concerning salary schedules for one or more classes of employees. 5 ILCS 120/2(c)(2). </w:t>
      </w:r>
    </w:p>
    <w:p w14:paraId="3DD265C0" w14:textId="77777777" w:rsidR="007932D3" w:rsidRDefault="007932D3" w:rsidP="007932D3">
      <w:pPr>
        <w:pStyle w:val="LISTNUMBERDOUBLE"/>
        <w:numPr>
          <w:ilvl w:val="0"/>
          <w:numId w:val="1"/>
        </w:numPr>
      </w:pPr>
      <w:r>
        <w:t>The selection of a person to fill a public office, as defined in the Open Meetings Act, including a vacancy in a public office, when the public body is given power to appoint under law or ordinance, or the discipline, performance or removal of the occupant of a public office, when the public body is given power to remove the occupant under law or ordinance. 5 ILCS 120/2(c)(3).</w:t>
      </w:r>
    </w:p>
    <w:p w14:paraId="4B964C3E" w14:textId="77777777" w:rsidR="007932D3" w:rsidRDefault="007932D3" w:rsidP="007932D3">
      <w:pPr>
        <w:pStyle w:val="LISTNUMBERDOUBLE"/>
        <w:numPr>
          <w:ilvl w:val="0"/>
          <w:numId w:val="1"/>
        </w:numPr>
      </w:pPr>
      <w:r>
        <w:t>Evidence or testimony presented in open hearing, or in closed hearing where specifically authorized by law, to a quasi-adjudicative body, as defined in the Open Meetings Act, provided that the body prepares and makes available for public inspection a written decision setting forth its determinative reasoning. 5 ILCS 120/2(c)(4).</w:t>
      </w:r>
    </w:p>
    <w:p w14:paraId="5FF7CA07" w14:textId="77777777" w:rsidR="007932D3" w:rsidRDefault="007932D3" w:rsidP="007932D3">
      <w:pPr>
        <w:pStyle w:val="LISTNUMBERDOUBLE"/>
        <w:numPr>
          <w:ilvl w:val="0"/>
          <w:numId w:val="1"/>
        </w:numPr>
      </w:pPr>
      <w:r>
        <w:t>The purchase or lease of real property for the use of the public body, including meetings held for the purpose of discussing whether a particular parcel should be acquired. 5 ILCS 120/2(c)(5).</w:t>
      </w:r>
    </w:p>
    <w:p w14:paraId="400E50C6" w14:textId="77777777" w:rsidR="007932D3" w:rsidRDefault="007932D3" w:rsidP="007932D3">
      <w:pPr>
        <w:pStyle w:val="LISTNUMBERDOUBLE"/>
        <w:numPr>
          <w:ilvl w:val="0"/>
          <w:numId w:val="1"/>
        </w:numPr>
      </w:pPr>
      <w:r>
        <w:t>The setting of a price for sale or lease of property owned by the public body. 5 ILCS 120/2(c)(6).</w:t>
      </w:r>
    </w:p>
    <w:p w14:paraId="003D9ACB" w14:textId="77777777" w:rsidR="007932D3" w:rsidRDefault="007932D3" w:rsidP="007932D3">
      <w:pPr>
        <w:pStyle w:val="LISTNUMBERDOUBLE"/>
        <w:numPr>
          <w:ilvl w:val="0"/>
          <w:numId w:val="1"/>
        </w:numPr>
      </w:pPr>
      <w:r>
        <w:lastRenderedPageBreak/>
        <w:t>The sale or purchase of securities, investments, or investment contracts. 5 ILCS 120/2(c)(7).</w:t>
      </w:r>
    </w:p>
    <w:p w14:paraId="56680F93" w14:textId="77777777" w:rsidR="007932D3" w:rsidRDefault="007932D3" w:rsidP="007932D3">
      <w:pPr>
        <w:pStyle w:val="LISTNUMBERDOUBLE"/>
        <w:numPr>
          <w:ilvl w:val="0"/>
          <w:numId w:val="1"/>
        </w:numPr>
      </w:pPr>
      <w:r>
        <w:t>Security procedures, school building safety and security, and the use of personnel and equipment to respond to an actual, a threatened, or a reasonably potential danger to the safety of employees, students, staff, the public, or public property. 5 ILCS 120/2(c)(8).</w:t>
      </w:r>
    </w:p>
    <w:p w14:paraId="712A4C39" w14:textId="77777777" w:rsidR="007932D3" w:rsidRDefault="007932D3" w:rsidP="007932D3">
      <w:pPr>
        <w:pStyle w:val="LISTNUMBERDOUBLE"/>
        <w:numPr>
          <w:ilvl w:val="0"/>
          <w:numId w:val="1"/>
        </w:numPr>
      </w:pPr>
      <w:r>
        <w:t>Student disciplinary cases. 5 ILCS 120/2(c)(9).</w:t>
      </w:r>
    </w:p>
    <w:p w14:paraId="7EBB1C6A" w14:textId="77777777" w:rsidR="007932D3" w:rsidRDefault="007932D3" w:rsidP="007932D3">
      <w:pPr>
        <w:pStyle w:val="LISTNUMBERDOUBLE"/>
        <w:numPr>
          <w:ilvl w:val="0"/>
          <w:numId w:val="1"/>
        </w:numPr>
        <w:ind w:hanging="450"/>
      </w:pPr>
      <w:r>
        <w:t>The placement of individual students in special education programs and other matters relating to individual students. 5 ILCS 120/2(c)(10).</w:t>
      </w:r>
    </w:p>
    <w:p w14:paraId="6B3E1C7F" w14:textId="77777777" w:rsidR="007932D3" w:rsidRDefault="007932D3" w:rsidP="007932D3">
      <w:pPr>
        <w:pStyle w:val="LISTNUMBERDOUBLE"/>
        <w:numPr>
          <w:ilvl w:val="0"/>
          <w:numId w:val="1"/>
        </w:numPr>
        <w:ind w:hanging="450"/>
      </w:pPr>
      <w:r>
        <w:t>Litigation, when an action against, affecting or on behalf of the particular public body has been filed and is pending before a court or administrative tribunal, or when the public body finds that an action is probable or imminent, in which case the basis for the finding shall be recorded and entered into the minutes of the closed meeting. 5 ILCS 120/2(c)(11).</w:t>
      </w:r>
    </w:p>
    <w:p w14:paraId="48D81611" w14:textId="77777777" w:rsidR="007932D3" w:rsidRDefault="007932D3" w:rsidP="007932D3">
      <w:pPr>
        <w:pStyle w:val="LISTNUMBERDOUBLE"/>
        <w:numPr>
          <w:ilvl w:val="0"/>
          <w:numId w:val="1"/>
        </w:numPr>
        <w:ind w:hanging="450"/>
      </w:pPr>
      <w:r>
        <w:t xml:space="preserve">The establishment of reserves or settlement of claims as provided in the Local Governmental and Governmental Employees Tort Immunity Act, if otherwise the disposition of a claim or potential claim might be prejudiced, or the review or discussion of claims, loss or risk management information, records, data, advice or communications from or with respect to any insurer of the public body or any intergovernmental risk management association or </w:t>
      </w:r>
      <w:proofErr w:type="spellStart"/>
      <w:r>
        <w:t>self insurance</w:t>
      </w:r>
      <w:proofErr w:type="spellEnd"/>
      <w:r>
        <w:t xml:space="preserve"> pool of which the public body is a member. 5 ILCS 120/2(c)(12).</w:t>
      </w:r>
    </w:p>
    <w:p w14:paraId="24D3739A" w14:textId="77777777" w:rsidR="007932D3" w:rsidRDefault="007932D3" w:rsidP="007932D3">
      <w:pPr>
        <w:pStyle w:val="LISTNUMBERDOUBLE"/>
        <w:numPr>
          <w:ilvl w:val="0"/>
          <w:numId w:val="1"/>
        </w:numPr>
        <w:ind w:hanging="450"/>
      </w:pPr>
      <w:proofErr w:type="spellStart"/>
      <w:r>
        <w:t>Self evaluation</w:t>
      </w:r>
      <w:proofErr w:type="spellEnd"/>
      <w:r>
        <w:t xml:space="preserve">, practices and procedures or professional ethics, when meeting with a representative of a statewide association of which the public body is a member. 5 ILCS 120/2(c)(16). </w:t>
      </w:r>
    </w:p>
    <w:p w14:paraId="5F06A439" w14:textId="77777777" w:rsidR="007932D3" w:rsidRDefault="007932D3" w:rsidP="007932D3">
      <w:pPr>
        <w:pStyle w:val="LISTNUMBERDOUBLE"/>
        <w:numPr>
          <w:ilvl w:val="0"/>
          <w:numId w:val="1"/>
        </w:numPr>
        <w:ind w:hanging="450"/>
      </w:pPr>
      <w:r>
        <w:t>Discussion of minutes of meetings lawfully closed under the Open Meetings Act, whether for purposes of approval by the body of the minutes or semi-annual review of the minutes as mandated by Section 2.06. 5 ILCS 120/2(c)(21).</w:t>
      </w:r>
    </w:p>
    <w:p w14:paraId="1CD71146" w14:textId="77777777" w:rsidR="007932D3" w:rsidRDefault="007932D3" w:rsidP="007932D3">
      <w:pPr>
        <w:pStyle w:val="LISTNUMBERDOUBLE"/>
        <w:numPr>
          <w:ilvl w:val="0"/>
          <w:numId w:val="1"/>
        </w:numPr>
        <w:ind w:hanging="450"/>
      </w:pPr>
      <w:r>
        <w:t>Meetings between internal or external auditors and governmental audit committees, finance committees, and their equivalents, when the discussion involves internal control weaknesses, identification of potential fraud risk areas, known or suspected frauds, and fraud interviews conducted in accordance with generally accepted auditing standards of the United States of America. 5 ILCS 120/2(c)(29).</w:t>
      </w:r>
    </w:p>
    <w:p w14:paraId="01BE79DC" w14:textId="77777777" w:rsidR="007932D3" w:rsidRDefault="007932D3" w:rsidP="007932D3">
      <w:pPr>
        <w:pStyle w:val="BodyText"/>
      </w:pPr>
      <w:r>
        <w:t xml:space="preserve">The Board may hold a closed meeting, or close a portion of a meeting, by a majority vote of a quorum, taken at an open meeting. The vote of each Board member present, and the reason for the closed meeting, will be publicly disclosed at the time of the meeting and clearly stated in the motion and the meeting minutes. </w:t>
      </w:r>
    </w:p>
    <w:p w14:paraId="03558EB8" w14:textId="77777777" w:rsidR="007932D3" w:rsidRDefault="007932D3" w:rsidP="007932D3">
      <w:pPr>
        <w:pStyle w:val="BodyText"/>
      </w:pPr>
      <w:r>
        <w:t>A single motion calling for a series of closed meetings may be adopted when such meetings will involve the same particular matters and are scheduled to be held within three months of the vote.</w:t>
      </w:r>
    </w:p>
    <w:p w14:paraId="0450D941" w14:textId="77777777" w:rsidR="007932D3" w:rsidRDefault="007932D3" w:rsidP="007932D3">
      <w:pPr>
        <w:pStyle w:val="BodyText"/>
      </w:pPr>
      <w:r>
        <w:t xml:space="preserve">No final Board action will be taken at a closed meeting. </w:t>
      </w:r>
    </w:p>
    <w:p w14:paraId="2CAB43C3" w14:textId="77777777" w:rsidR="007932D3" w:rsidRDefault="007932D3" w:rsidP="007932D3">
      <w:pPr>
        <w:pStyle w:val="SUBHEADING"/>
      </w:pPr>
      <w:r>
        <w:t>Reconvened or Rescheduled Meetings</w:t>
      </w:r>
    </w:p>
    <w:p w14:paraId="4153680B" w14:textId="77777777" w:rsidR="007932D3" w:rsidRDefault="007932D3" w:rsidP="007932D3">
      <w:pPr>
        <w:pStyle w:val="BodyText"/>
      </w:pPr>
      <w:r>
        <w:t xml:space="preserve">A meeting may be rescheduled or reconvened.  Public notice of a rescheduled or reconvened meeting shall be given in the same manner as that for a special meeting, except that no public notice is required when the original meeting is open to the public and: (1) is to be reconvened within 24 hours, or (2) an announcement of the time and place of the reconvened meeting was made at the original meeting and there is no change in the agenda. </w:t>
      </w:r>
    </w:p>
    <w:p w14:paraId="37CB56B6" w14:textId="77777777" w:rsidR="007932D3" w:rsidRDefault="007932D3" w:rsidP="007932D3">
      <w:pPr>
        <w:pStyle w:val="SUBHEADING"/>
      </w:pPr>
      <w:r>
        <w:t>Special Meetings</w:t>
      </w:r>
    </w:p>
    <w:p w14:paraId="0ECA44B5" w14:textId="77777777" w:rsidR="007932D3" w:rsidRDefault="007932D3" w:rsidP="007932D3">
      <w:pPr>
        <w:pStyle w:val="BodyText"/>
      </w:pPr>
      <w:r>
        <w:t xml:space="preserve">Special meetings may be called by the President or by any three members of the Board by giving notice thereof, in writing, stating the time, place, and purpose of the meeting to remaining Board members by mail at least 48 hours before the meeting, or by personal service at least 24 hours before the meeting. </w:t>
      </w:r>
      <w:bookmarkStart w:id="5" w:name="nopost2"/>
      <w:bookmarkEnd w:id="5"/>
    </w:p>
    <w:p w14:paraId="00BA9D43" w14:textId="77777777" w:rsidR="007932D3" w:rsidRDefault="007932D3" w:rsidP="007932D3">
      <w:pPr>
        <w:pStyle w:val="BodyText"/>
      </w:pPr>
      <w:r>
        <w:lastRenderedPageBreak/>
        <w:t xml:space="preserve">Public notice of a special meeting is given by posting a notice at the District’s main office at least 48 hours before the meeting and by notifying the news media that have filed a written request for notice. A meeting agenda shall accompany the notice. </w:t>
      </w:r>
    </w:p>
    <w:p w14:paraId="122FCE16" w14:textId="77777777" w:rsidR="007932D3" w:rsidRDefault="007932D3" w:rsidP="007932D3">
      <w:pPr>
        <w:pStyle w:val="BodyText"/>
      </w:pPr>
      <w:r>
        <w:t>All</w:t>
      </w:r>
      <w:r w:rsidRPr="00FE7C2B">
        <w:t xml:space="preserve"> matters discussed</w:t>
      </w:r>
      <w:r>
        <w:t xml:space="preserve"> by the Board</w:t>
      </w:r>
      <w:r w:rsidRPr="00FE7C2B">
        <w:t xml:space="preserve"> at any special meeting </w:t>
      </w:r>
      <w:r>
        <w:t>must be related to a subject on the meeting agenda.</w:t>
      </w:r>
      <w:r w:rsidRPr="00FE7C2B">
        <w:t xml:space="preserve"> </w:t>
      </w:r>
    </w:p>
    <w:p w14:paraId="4F01E50E" w14:textId="77777777" w:rsidR="007932D3" w:rsidRDefault="007932D3" w:rsidP="007932D3">
      <w:pPr>
        <w:pStyle w:val="SUBHEADING"/>
      </w:pPr>
      <w:r>
        <w:t>Emergency Meetings</w:t>
      </w:r>
    </w:p>
    <w:p w14:paraId="16BD1EDF" w14:textId="77777777" w:rsidR="007932D3" w:rsidRDefault="007932D3" w:rsidP="007932D3">
      <w:pPr>
        <w:pStyle w:val="BodyText"/>
      </w:pPr>
      <w:r>
        <w:t xml:space="preserve">Public notice of emergency meetings shall be given as soon as practical, but in any event, before the meeting to news media that have filed a written request for notice. </w:t>
      </w:r>
    </w:p>
    <w:p w14:paraId="70560575" w14:textId="77777777" w:rsidR="007932D3" w:rsidRDefault="007932D3" w:rsidP="007932D3">
      <w:pPr>
        <w:pStyle w:val="SUBHEADING"/>
        <w:rPr>
          <w:u w:val="none"/>
        </w:rPr>
      </w:pPr>
      <w:bookmarkStart w:id="6" w:name="Sec2200d1"/>
      <w:r>
        <w:t>Posting on the District Website</w:t>
      </w:r>
      <w:r>
        <w:rPr>
          <w:u w:val="none"/>
        </w:rPr>
        <w:t xml:space="preserve"> </w:t>
      </w:r>
    </w:p>
    <w:p w14:paraId="2F1C5F67" w14:textId="77777777" w:rsidR="007932D3" w:rsidRDefault="007932D3" w:rsidP="007932D3">
      <w:pPr>
        <w:pStyle w:val="BodyText"/>
      </w:pPr>
      <w:r>
        <w:t>In addition to the other notices specified in this policy, the Superintendent or designee shall post the following on the District website: (1) the annual schedule of regular meetings, which shall remain posted until the Board approves a new schedule of regular meetings;</w:t>
      </w:r>
      <w:r>
        <w:rPr>
          <w:rStyle w:val="FootnoteReference"/>
        </w:rPr>
        <w:t xml:space="preserve"> </w:t>
      </w:r>
      <w:r>
        <w:t>(2) a public notice of all Board meetings; and (3) the agenda for each meeting which shall remain posted until the meeting is concluded.</w:t>
      </w:r>
    </w:p>
    <w:bookmarkEnd w:id="6"/>
    <w:p w14:paraId="6E84BCAB" w14:textId="77777777" w:rsidR="007932D3" w:rsidRDefault="007932D3" w:rsidP="007932D3">
      <w:pPr>
        <w:pStyle w:val="LEGALREF"/>
      </w:pPr>
      <w:r>
        <w:t>LEGAL REF.:</w:t>
      </w:r>
      <w:r>
        <w:tab/>
        <w:t>5 ILCS 120/, Open Meetings Act.</w:t>
      </w:r>
    </w:p>
    <w:p w14:paraId="7546EC8C" w14:textId="77777777" w:rsidR="007932D3" w:rsidRDefault="007932D3" w:rsidP="007932D3">
      <w:pPr>
        <w:pStyle w:val="LEGALREFINDENT"/>
      </w:pPr>
      <w:r>
        <w:t>5 ILCS 140/, Freedom of Information Act.</w:t>
      </w:r>
    </w:p>
    <w:p w14:paraId="3CED9D96" w14:textId="77777777" w:rsidR="007932D3" w:rsidRDefault="007932D3" w:rsidP="007932D3">
      <w:pPr>
        <w:pStyle w:val="LEGALREFINDENT"/>
      </w:pPr>
      <w:r>
        <w:t>105 ILCS 5/10-6 and 5/10-16.</w:t>
      </w:r>
    </w:p>
    <w:p w14:paraId="02C35E89" w14:textId="77777777" w:rsidR="007932D3" w:rsidRDefault="007932D3" w:rsidP="007932D3">
      <w:pPr>
        <w:pStyle w:val="CROSSREF"/>
        <w:jc w:val="both"/>
      </w:pPr>
      <w:r>
        <w:t>CROSS REF.:</w:t>
      </w:r>
      <w:r>
        <w:tab/>
        <w:t>2:110 (Qualifications Term, and Duties of Board Officers), 2:120 (Board Member Development), 2:210 (Organizational School Board Meetings), 2:220 (School Board Meeting Procedure), 2:230 (Public Participation at School Board Meetings and Petitions to the Board), 6:235 (Access to Electronic Networks)</w:t>
      </w:r>
    </w:p>
    <w:p w14:paraId="1C0E557C" w14:textId="77777777" w:rsidR="007932D3" w:rsidRDefault="007932D3" w:rsidP="007932D3">
      <w:pPr>
        <w:pStyle w:val="CROSSREF"/>
      </w:pPr>
      <w:r>
        <w:t>ADOPTED.:</w:t>
      </w:r>
      <w:r>
        <w:tab/>
        <w:t>November, 12, 2020</w:t>
      </w:r>
    </w:p>
    <w:p w14:paraId="6CF233DD" w14:textId="77777777" w:rsidR="007932D3" w:rsidRDefault="007932D3" w:rsidP="007932D3">
      <w:pPr>
        <w:pStyle w:val="CROSSREF"/>
        <w:jc w:val="both"/>
      </w:pPr>
    </w:p>
    <w:p w14:paraId="22BC9082" w14:textId="77777777" w:rsidR="007932D3" w:rsidRDefault="007932D3" w:rsidP="007932D3">
      <w:pPr>
        <w:pStyle w:val="CROSSREF"/>
      </w:pPr>
    </w:p>
    <w:p w14:paraId="0FDE7EB9" w14:textId="77777777" w:rsidR="007932D3" w:rsidRDefault="007932D3"/>
    <w:sectPr w:rsidR="007932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33708" w14:textId="77777777" w:rsidR="00756174" w:rsidRDefault="00756174" w:rsidP="007932D3">
      <w:r>
        <w:separator/>
      </w:r>
    </w:p>
  </w:endnote>
  <w:endnote w:type="continuationSeparator" w:id="0">
    <w:p w14:paraId="31B1F8F5" w14:textId="77777777" w:rsidR="00756174" w:rsidRDefault="00756174" w:rsidP="0079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9B40" w14:textId="2C31AF35" w:rsidR="007932D3" w:rsidRDefault="007932D3" w:rsidP="007932D3">
    <w:pPr>
      <w:pStyle w:val="Footer"/>
      <w:tabs>
        <w:tab w:val="right" w:pos="9000"/>
      </w:tabs>
    </w:pPr>
    <w:r>
      <w:t>2:200</w:t>
    </w:r>
    <w:r>
      <w:tab/>
    </w:r>
    <w:r>
      <w:tab/>
      <w:t xml:space="preserve">Page </w:t>
    </w:r>
    <w:r>
      <w:fldChar w:fldCharType="begin"/>
    </w:r>
    <w:r>
      <w:instrText xml:space="preserve"> PAGE   \* MERGEFORMAT </w:instrText>
    </w:r>
    <w:r>
      <w:fldChar w:fldCharType="separate"/>
    </w:r>
    <w:r>
      <w:t>3</w:t>
    </w:r>
    <w:r>
      <w:fldChar w:fldCharType="end"/>
    </w:r>
    <w:r>
      <w:t xml:space="preserve"> of </w:t>
    </w:r>
    <w:r>
      <w:fldChar w:fldCharType="begin"/>
    </w:r>
    <w:r>
      <w:instrText xml:space="preserve"> SECTIONPAGES   \* MERGEFORMAT </w:instrText>
    </w:r>
    <w:r>
      <w:fldChar w:fldCharType="separate"/>
    </w:r>
    <w:r>
      <w:rPr>
        <w:noProof/>
      </w:rPr>
      <w:t>3</w:t>
    </w:r>
    <w:r>
      <w:fldChar w:fldCharType="end"/>
    </w:r>
  </w:p>
  <w:p w14:paraId="3DE60EEF" w14:textId="77777777" w:rsidR="007932D3" w:rsidRDefault="0079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0DFB0" w14:textId="77777777" w:rsidR="00756174" w:rsidRDefault="00756174" w:rsidP="007932D3">
      <w:r>
        <w:separator/>
      </w:r>
    </w:p>
  </w:footnote>
  <w:footnote w:type="continuationSeparator" w:id="0">
    <w:p w14:paraId="1FD73695" w14:textId="77777777" w:rsidR="00756174" w:rsidRDefault="00756174" w:rsidP="00793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F5247D"/>
    <w:multiLevelType w:val="singleLevel"/>
    <w:tmpl w:val="3E06F60C"/>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D3"/>
    <w:rsid w:val="00756174"/>
    <w:rsid w:val="0079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46800"/>
  <w15:chartTrackingRefBased/>
  <w15:docId w15:val="{E14820C6-CEA1-0745-A8E7-9C1A2ACA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D3"/>
    <w:pPr>
      <w:overflowPunct w:val="0"/>
      <w:autoSpaceDE w:val="0"/>
      <w:autoSpaceDN w:val="0"/>
      <w:adjustRightInd w:val="0"/>
      <w:textAlignment w:val="baseline"/>
    </w:pPr>
    <w:rPr>
      <w:rFonts w:ascii="Times New Roman" w:eastAsia="Times New Roman" w:hAnsi="Times New Roman" w:cs="Times New Roman"/>
      <w:kern w:val="28"/>
      <w:sz w:val="22"/>
      <w:szCs w:val="20"/>
    </w:rPr>
  </w:style>
  <w:style w:type="paragraph" w:styleId="Heading1">
    <w:name w:val="heading 1"/>
    <w:basedOn w:val="Normal"/>
    <w:next w:val="Normal"/>
    <w:link w:val="Heading1Char"/>
    <w:qFormat/>
    <w:rsid w:val="007932D3"/>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7932D3"/>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2D3"/>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932D3"/>
    <w:rPr>
      <w:rFonts w:ascii="Arial" w:eastAsia="Times New Roman" w:hAnsi="Arial" w:cs="Times New Roman"/>
      <w:b/>
      <w:kern w:val="28"/>
      <w:sz w:val="22"/>
      <w:szCs w:val="20"/>
      <w:u w:val="single"/>
    </w:rPr>
  </w:style>
  <w:style w:type="paragraph" w:styleId="BodyText">
    <w:name w:val="Body Text"/>
    <w:basedOn w:val="Normal"/>
    <w:link w:val="BodyTextChar"/>
    <w:rsid w:val="007932D3"/>
    <w:pPr>
      <w:spacing w:before="60" w:after="60"/>
      <w:jc w:val="both"/>
    </w:pPr>
  </w:style>
  <w:style w:type="character" w:customStyle="1" w:styleId="BodyTextChar">
    <w:name w:val="Body Text Char"/>
    <w:basedOn w:val="DefaultParagraphFont"/>
    <w:link w:val="BodyText"/>
    <w:rsid w:val="007932D3"/>
    <w:rPr>
      <w:rFonts w:ascii="Times New Roman" w:eastAsia="Times New Roman" w:hAnsi="Times New Roman" w:cs="Times New Roman"/>
      <w:kern w:val="28"/>
      <w:sz w:val="22"/>
      <w:szCs w:val="20"/>
    </w:rPr>
  </w:style>
  <w:style w:type="paragraph" w:customStyle="1" w:styleId="LEGALREF">
    <w:name w:val="LEGAL REF"/>
    <w:basedOn w:val="Normal"/>
    <w:link w:val="LEGALREFChar"/>
    <w:rsid w:val="007932D3"/>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7932D3"/>
    <w:pPr>
      <w:tabs>
        <w:tab w:val="clear" w:pos="1800"/>
      </w:tabs>
      <w:spacing w:before="0"/>
      <w:ind w:hanging="360"/>
    </w:pPr>
  </w:style>
  <w:style w:type="paragraph" w:customStyle="1" w:styleId="CROSSREF">
    <w:name w:val="CROSS REF"/>
    <w:basedOn w:val="Normal"/>
    <w:link w:val="CROSSREFChar"/>
    <w:rsid w:val="007932D3"/>
    <w:pPr>
      <w:keepNext/>
      <w:keepLines/>
      <w:tabs>
        <w:tab w:val="left" w:pos="1800"/>
      </w:tabs>
      <w:spacing w:before="240"/>
      <w:ind w:left="1800" w:hanging="1800"/>
    </w:pPr>
  </w:style>
  <w:style w:type="character" w:styleId="FootnoteReference">
    <w:name w:val="footnote reference"/>
    <w:rsid w:val="007932D3"/>
    <w:rPr>
      <w:b/>
      <w:position w:val="2"/>
      <w:sz w:val="18"/>
    </w:rPr>
  </w:style>
  <w:style w:type="paragraph" w:customStyle="1" w:styleId="LISTNUMBERDOUBLE">
    <w:name w:val="LIST NUMBER DOUBLE"/>
    <w:basedOn w:val="ListNumber2"/>
    <w:rsid w:val="007932D3"/>
    <w:pPr>
      <w:tabs>
        <w:tab w:val="clear" w:pos="360"/>
      </w:tabs>
      <w:spacing w:before="60" w:after="60"/>
      <w:contextualSpacing w:val="0"/>
      <w:jc w:val="both"/>
    </w:pPr>
  </w:style>
  <w:style w:type="paragraph" w:customStyle="1" w:styleId="SUBHEADING">
    <w:name w:val="SUBHEADING"/>
    <w:basedOn w:val="Normal"/>
    <w:next w:val="BodyText"/>
    <w:link w:val="SUBHEADINGChar"/>
    <w:rsid w:val="007932D3"/>
    <w:pPr>
      <w:keepNext/>
      <w:spacing w:before="120" w:after="60"/>
    </w:pPr>
    <w:rPr>
      <w:u w:val="single"/>
    </w:rPr>
  </w:style>
  <w:style w:type="paragraph" w:styleId="Header">
    <w:name w:val="header"/>
    <w:basedOn w:val="Normal"/>
    <w:link w:val="HeaderChar"/>
    <w:rsid w:val="007932D3"/>
    <w:pPr>
      <w:tabs>
        <w:tab w:val="center" w:pos="4320"/>
        <w:tab w:val="right" w:pos="8640"/>
      </w:tabs>
    </w:pPr>
  </w:style>
  <w:style w:type="character" w:customStyle="1" w:styleId="HeaderChar">
    <w:name w:val="Header Char"/>
    <w:basedOn w:val="DefaultParagraphFont"/>
    <w:link w:val="Header"/>
    <w:rsid w:val="007932D3"/>
    <w:rPr>
      <w:rFonts w:ascii="Times New Roman" w:eastAsia="Times New Roman" w:hAnsi="Times New Roman" w:cs="Times New Roman"/>
      <w:kern w:val="28"/>
      <w:sz w:val="22"/>
      <w:szCs w:val="20"/>
    </w:rPr>
  </w:style>
  <w:style w:type="character" w:customStyle="1" w:styleId="SUBHEADINGChar">
    <w:name w:val="SUBHEADING Char"/>
    <w:link w:val="SUBHEADING"/>
    <w:rsid w:val="007932D3"/>
    <w:rPr>
      <w:rFonts w:ascii="Times New Roman" w:eastAsia="Times New Roman" w:hAnsi="Times New Roman" w:cs="Times New Roman"/>
      <w:kern w:val="28"/>
      <w:sz w:val="22"/>
      <w:szCs w:val="20"/>
      <w:u w:val="single"/>
    </w:rPr>
  </w:style>
  <w:style w:type="character" w:customStyle="1" w:styleId="LEGALREFChar">
    <w:name w:val="LEGAL REF Char"/>
    <w:link w:val="LEGALREF"/>
    <w:rsid w:val="007932D3"/>
    <w:rPr>
      <w:rFonts w:ascii="Times New Roman" w:eastAsia="Times New Roman" w:hAnsi="Times New Roman" w:cs="Times New Roman"/>
      <w:spacing w:val="-2"/>
      <w:kern w:val="28"/>
      <w:sz w:val="22"/>
      <w:szCs w:val="20"/>
    </w:rPr>
  </w:style>
  <w:style w:type="character" w:customStyle="1" w:styleId="CROSSREFChar">
    <w:name w:val="CROSS REF Char"/>
    <w:link w:val="CROSSREF"/>
    <w:rsid w:val="007932D3"/>
    <w:rPr>
      <w:rFonts w:ascii="Times New Roman" w:eastAsia="Times New Roman" w:hAnsi="Times New Roman" w:cs="Times New Roman"/>
      <w:kern w:val="28"/>
      <w:sz w:val="22"/>
      <w:szCs w:val="20"/>
    </w:rPr>
  </w:style>
  <w:style w:type="character" w:customStyle="1" w:styleId="LEGALREFINDENTChar">
    <w:name w:val="LEGAL REF INDENT Char"/>
    <w:link w:val="LEGALREFINDENT"/>
    <w:rsid w:val="007932D3"/>
    <w:rPr>
      <w:rFonts w:ascii="Times New Roman" w:eastAsia="Times New Roman" w:hAnsi="Times New Roman" w:cs="Times New Roman"/>
      <w:spacing w:val="-2"/>
      <w:kern w:val="28"/>
      <w:sz w:val="22"/>
      <w:szCs w:val="20"/>
    </w:rPr>
  </w:style>
  <w:style w:type="paragraph" w:styleId="ListNumber2">
    <w:name w:val="List Number 2"/>
    <w:basedOn w:val="Normal"/>
    <w:uiPriority w:val="99"/>
    <w:semiHidden/>
    <w:unhideWhenUsed/>
    <w:rsid w:val="007932D3"/>
    <w:pPr>
      <w:numPr>
        <w:numId w:val="1"/>
      </w:numPr>
      <w:contextualSpacing/>
    </w:pPr>
  </w:style>
  <w:style w:type="paragraph" w:styleId="Footer">
    <w:name w:val="footer"/>
    <w:basedOn w:val="Normal"/>
    <w:link w:val="FooterChar"/>
    <w:unhideWhenUsed/>
    <w:rsid w:val="007932D3"/>
    <w:pPr>
      <w:tabs>
        <w:tab w:val="center" w:pos="4680"/>
        <w:tab w:val="right" w:pos="9360"/>
      </w:tabs>
    </w:pPr>
  </w:style>
  <w:style w:type="character" w:customStyle="1" w:styleId="FooterChar">
    <w:name w:val="Footer Char"/>
    <w:basedOn w:val="DefaultParagraphFont"/>
    <w:link w:val="Footer"/>
    <w:rsid w:val="007932D3"/>
    <w:rPr>
      <w:rFonts w:ascii="Times New Roman" w:eastAsia="Times New Roman" w:hAnsi="Times New Roman" w:cs="Times New Roman"/>
      <w:kern w:val="2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2020-11-05T17:32:00Z</dcterms:created>
  <dcterms:modified xsi:type="dcterms:W3CDTF">2020-11-05T17:36:00Z</dcterms:modified>
</cp:coreProperties>
</file>